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Georgia" w:cs="Georgia" w:eastAsia="Georgia" w:hAnsi="Georgia"/>
          <w:sz w:val="40"/>
          <w:szCs w:val="40"/>
        </w:rPr>
        <w:t xml:space="preserve">Insiderförteckning</w:t>
      </w:r>
    </w:p>
    <w:p>
      <w:pPr>
        <w:pBdr>
          <w:bottom w:val="single" w:color="A6A6A6" w:sz="4" w:space="6"/>
        </w:pBdr>
        <w:spacing w:after="240"/>
      </w:pPr>
      <w:r>
        <w:rPr>
          <w:rFonts w:ascii="Arial" w:cs="Arial" w:eastAsia="Arial" w:hAnsi="Arial"/>
          <w:b w:val="false"/>
          <w:bCs w:val="false"/>
          <w:i w:val="false"/>
          <w:iCs w:val="false"/>
          <w:sz w:val="20"/>
          <w:szCs w:val="20"/>
        </w:rPr>
        <w:t xml:space="preserve">Artikel 18 i MAR och genomförandeförordning (EU) 2026/1291, mall 1 och mall 2</w:t>
      </w:r>
    </w:p>
    <w:p>
      <w:pPr>
        <w:keepNext/>
        <w:spacing w:after="100" w:before="300"/>
      </w:pPr>
      <w:r>
        <w:rPr>
          <w:rFonts w:ascii="Georgia" w:cs="Georgia" w:eastAsia="Georgia" w:hAnsi="Georgia"/>
          <w:b w:val="false"/>
          <w:bCs w:val="false"/>
          <w:sz w:val="26"/>
          <w:szCs w:val="26"/>
        </w:rPr>
        <w:t xml:space="preserve">Så använder ni mallen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Genomförandeförordning (EU) 2022/1210 upphörde att gälla när genomförandeförordning (EU) 2026/1291 trädde i kraft den 5 juli 2026. Hänvisningar till den gamla förordningen gäller den nya (artikel 3 och 4 i förordning (EU) 2026/1291). Mallen följer den nya förordningen.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MAR tillåter ett bolag vars finansiella instrument är upptagna till handel på en tillväxtmarknad för små och medelstora företag att bara ta med de personer som har regelbunden tillgång till insiderinformation (artikel 18.6 första stycket i MAR). Medlemsstaterna får kräva en fullständig förteckning (artikel 18.6 andra stycket).</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Sverige kräver det. Ett bolag vars finansiella instrument är upptagna till handel på en svensk tillväxtmarknad för små och medelstora företag ska föra en förteckning över alla som har tillgång till insiderinformation (2 kap. 2 b § lagen (2016:1306) med kompletterande bestämmelser till EU:s marknadsmissbruksförordning).</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Spotlight Stock Market, Nasdaq First North Growth Market och NGM Growth Market, tidigare NGM Nordic SME, är tillväxtmarknader för små och medelstora företag (marknadsplatsernas regelverk och NGM:s marknadsmeddelande 26-24).</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bolag på någon av dem, svenskt eller utländskt, för därför ett avsnitt för varje insiderinformation enligt mall 1 och får föra de personer som alltid har tillgång till all insiderinformation i ett eget avsnitt enligt mall 2. Den som står i avsnittet för permanent tillgång förs inte in i händelseavsnitten (artikel 2.2 i förordning (EU) 2026/1291). Den förenklade listan i bilaga II till förordningen räcker inte.</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avsnitt öppnas utan dröjsmål när insiderinformation uppstår, även när informationen ska offentliggöras direkt och även när bara personer med permanent tillgång känner till den (FI:s frågor och svar om insiderförteckningar 1.1 och 2.2). Det gäller också mellanliggande steg som inte offentliggörs (FI:s frågor och svar om insiderinformation 4.1).</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Klockslag anges i UTC (bilaga I i förordning (EU) 2026/1291). Svensk normaltid är UTC plus en timme och sommartid ytterligare en timme, alltså UTC plus två timmar (förordningen (1979:988) om svensk normaltid och förordningen (2001:127) om sommartid).</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Förteckningen uppdateras utan dröjsmål när någon tillkommer, när skälet till att någon står med ändras och när någon inte längre har tillgång. Varje uppdatering anger datum och klockslag för ändringen (artikel 18.4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Kopiera avsnittet enligt mall 1 för varje ny insiderinformation.</w:t>
      </w:r>
    </w:p>
    <w:p>
      <w:pPr>
        <w:keepNext/>
        <w:spacing w:after="100" w:before="300"/>
      </w:pPr>
      <w:r>
        <w:rPr>
          <w:rFonts w:ascii="Georgia" w:cs="Georgia" w:eastAsia="Georgia" w:hAnsi="Georgia"/>
          <w:b w:val="false"/>
          <w:bCs w:val="false"/>
          <w:sz w:val="26"/>
          <w:szCs w:val="26"/>
        </w:rPr>
        <w:t xml:space="preserve">Vem som ska stå med</w:t>
      </w:r>
    </w:p>
    <w:p>
      <w:pPr>
        <w:keepNext/>
        <w:spacing w:after="100" w:before="0" w:line="260"/>
      </w:pPr>
      <w:r>
        <w:rPr>
          <w:rFonts w:ascii="Arial" w:cs="Arial" w:eastAsia="Arial" w:hAnsi="Arial"/>
          <w:b w:val="false"/>
          <w:bCs w:val="false"/>
          <w:i w:val="false"/>
          <w:iCs w:val="false"/>
          <w:sz w:val="20"/>
          <w:szCs w:val="20"/>
        </w:rPr>
        <w:t xml:space="preserve">Förteckningen tar upp alla som har tillgång till informationen och arbetar för Bolaget, genom anställning eller på annat sätt, till exempel rådgivare och revisorer (artikel 18.1 a i MAR). Direkta motparter i en förhandling omfattas inte (FI:s frågor och svar om insiderförteckningar 2.3).</w:t>
      </w:r>
    </w:p>
    <w:p>
      <w:pPr>
        <w:keepNext/>
        <w:spacing w:after="100" w:before="0" w:line="260"/>
      </w:pPr>
      <w:r>
        <w:rPr>
          <w:rFonts w:ascii="Arial" w:cs="Arial" w:eastAsia="Arial" w:hAnsi="Arial"/>
          <w:b w:val="false"/>
          <w:bCs w:val="false"/>
          <w:i w:val="false"/>
          <w:iCs w:val="false"/>
          <w:sz w:val="20"/>
          <w:szCs w:val="20"/>
        </w:rPr>
        <w:t xml:space="preserve">För en tjänsteleverantör, till exempel en rådgivarfirma, anges en kontaktperson samt företagets namn och adress. Rådgivaren för en egen förteckning över sina medarbetare (skäl 4 och bilaga I i förordning (EU) 2026/1291 och artikel 18.1 i MAR).</w:t>
      </w:r>
    </w:p>
    <w:p>
      <w:pPr>
        <w:keepNext/>
        <w:spacing w:after="100" w:before="0" w:line="260"/>
      </w:pPr>
      <w:r>
        <w:rPr>
          <w:rFonts w:ascii="Arial" w:cs="Arial" w:eastAsia="Arial" w:hAnsi="Arial"/>
          <w:b w:val="false"/>
          <w:bCs w:val="false"/>
          <w:i w:val="false"/>
          <w:iCs w:val="false"/>
          <w:sz w:val="20"/>
          <w:szCs w:val="20"/>
        </w:rPr>
        <w:t xml:space="preserve">Förteckningen hålls skild från förteckningen över personer i ledande ställning och deras närstående (artikel 19.5 i MAR och FI:s frågor och svar om insiderförteckningar 1.5).</w:t>
      </w:r>
    </w:p>
    <w:p>
      <w:pPr>
        <w:sectPr>
          <w:footerReference w:type="default" r:id="rId7"/>
          <w:pgSz w:w="11906" w:h="16838" w:orient="portrait"/>
          <w:pgMar w:top="1134" w:right="1134" w:bottom="1134" w:left="1134" w:header="708" w:footer="708" w:gutter="0"/>
          <w:pgNumType/>
          <w:docGrid w:linePitch="360"/>
        </w:sectPr>
      </w:pPr>
    </w:p>
    <w:p>
      <w:pPr>
        <w:keepNext/>
        <w:spacing w:after="100" w:before="300"/>
      </w:pPr>
      <w:r>
        <w:rPr>
          <w:rFonts w:ascii="Georgia" w:cs="Georgia" w:eastAsia="Georgia" w:hAnsi="Georgia"/>
          <w:b w:val="false"/>
          <w:bCs w:val="false"/>
          <w:sz w:val="26"/>
          <w:szCs w:val="26"/>
        </w:rPr>
        <w:t xml:space="preserve">Avsnitt för en insiderinformation (mall 1)</w:t>
      </w:r>
    </w:p>
    <w:p>
      <w:pPr>
        <w:keepNext/>
        <w:spacing w:after="100" w:before="0" w:line="260"/>
      </w:pPr>
      <w:r>
        <w:rPr>
          <w:rFonts w:ascii="Arial" w:cs="Arial" w:eastAsia="Arial" w:hAnsi="Arial"/>
          <w:b w:val="false"/>
          <w:bCs w:val="false"/>
          <w:i w:val="false"/>
          <w:iCs w:val="false"/>
          <w:sz w:val="20"/>
          <w:szCs w:val="20"/>
        </w:rPr>
        <w:t xml:space="preserve">Fälten följer mall 1 i bilaga I till förordning (EU) 2026/1291.</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8570"/>
      </w:tblGrid>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Beskrivning av den specifika insiderinformation som avsnittet avser</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bCs/>
                <w:i w:val="false"/>
                <w:iCs w:val="false"/>
                <w:sz w:val="18"/>
                <w:szCs w:val="18"/>
              </w:rPr>
              <w:t xml:space="preserve">Datum och klockslag då avsnittet upprättades</w:t>
            </w:r>
          </w:p>
          <w:p>
            <w:pPr>
              <w:keepNext w:val="false"/>
              <w:spacing w:after="0" w:before="0" w:line="230"/>
            </w:pPr>
            <w:r>
              <w:rPr>
                <w:rFonts w:ascii="Arial" w:cs="Arial" w:eastAsia="Arial" w:hAnsi="Arial"/>
                <w:b w:val="false"/>
                <w:bCs w:val="false"/>
                <w:i/>
                <w:iCs/>
                <w:sz w:val="16"/>
                <w:szCs w:val="16"/>
              </w:rPr>
              <w:t xml:space="preserve">När insiderinformationen identifierades</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 tt:mm UTC</w:t>
            </w:r>
          </w:p>
        </w:tc>
      </w:tr>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Datum och klockslag då avsnittet senast uppdaterades</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 tt:mm UTC</w:t>
            </w:r>
          </w:p>
        </w:tc>
      </w:tr>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Datum för överföring till Finansinspektionen</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w:t>
            </w:r>
          </w:p>
        </w:tc>
      </w:tr>
    </w:tbl>
    <w:p>
      <w:pPr>
        <w:spacing w:after="60"/>
      </w:pPr>
    </w:p>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500"/>
        <w:gridCol w:w="1900"/>
        <w:gridCol w:w="3470"/>
        <w:gridCol w:w="1900"/>
        <w:gridCol w:w="1900"/>
        <w:gridCol w:w="2400"/>
      </w:tblGrid>
      <w:tr>
        <w:trPr>
          <w:cantSplit/>
          <w:tblHeader/>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Förnamn</w:t>
            </w:r>
          </w:p>
          <w:p>
            <w:pPr>
              <w:keepNext w:val="false"/>
              <w:spacing w:after="0" w:before="0" w:line="230"/>
            </w:pPr>
            <w:r>
              <w:rPr>
                <w:rFonts w:ascii="Arial" w:cs="Arial" w:eastAsia="Arial" w:hAnsi="Arial"/>
                <w:b w:val="false"/>
                <w:bCs w:val="false"/>
                <w:i/>
                <w:iCs/>
                <w:sz w:val="16"/>
                <w:szCs w:val="16"/>
              </w:rPr>
              <w:t xml:space="preserve">För en tjänsteleverantör: kontaktpersonens förnamn</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Efternamn</w:t>
            </w:r>
          </w:p>
          <w:p>
            <w:pPr>
              <w:keepNext w:val="false"/>
              <w:spacing w:after="0" w:before="0" w:line="230"/>
            </w:pPr>
            <w:r>
              <w:rPr>
                <w:rFonts w:ascii="Arial" w:cs="Arial" w:eastAsia="Arial" w:hAnsi="Arial"/>
                <w:b w:val="false"/>
                <w:bCs w:val="false"/>
                <w:i/>
                <w:iCs/>
                <w:sz w:val="16"/>
                <w:szCs w:val="16"/>
              </w:rPr>
              <w:t xml:space="preserve">För en tjänsteleverantör: kontaktpersonens efternamn</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Telefonnummer i tjänsten</w:t>
            </w:r>
          </w:p>
          <w:p>
            <w:pPr>
              <w:keepNext w:val="false"/>
              <w:spacing w:after="0" w:before="0" w:line="230"/>
            </w:pPr>
            <w:r>
              <w:rPr>
                <w:rFonts w:ascii="Arial" w:cs="Arial" w:eastAsia="Arial" w:hAnsi="Arial"/>
                <w:b w:val="false"/>
                <w:bCs w:val="false"/>
                <w:i/>
                <w:iCs/>
                <w:sz w:val="16"/>
                <w:szCs w:val="16"/>
              </w:rPr>
              <w:t xml:space="preserve">Fast direktnummer och mobil, siffror utan blanksteg</w:t>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Funktion och skäl till tillgången</w:t>
            </w:r>
          </w:p>
          <w:p>
            <w:pPr>
              <w:keepNext w:val="false"/>
              <w:spacing w:after="0" w:before="0" w:line="230"/>
            </w:pPr>
            <w:r>
              <w:rPr>
                <w:rFonts w:ascii="Arial" w:cs="Arial" w:eastAsia="Arial" w:hAnsi="Arial"/>
                <w:b w:val="false"/>
                <w:bCs w:val="false"/>
                <w:i/>
                <w:iCs/>
                <w:sz w:val="16"/>
                <w:szCs w:val="16"/>
              </w:rPr>
              <w:t xml:space="preserve">För en tjänsteleverantör även företagets namn och adress</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Tillgång gavs</w:t>
            </w:r>
          </w:p>
          <w:p>
            <w:pPr>
              <w:keepNext w:val="false"/>
              <w:spacing w:after="0" w:before="0" w:line="230"/>
            </w:pPr>
            <w:r>
              <w:rPr>
                <w:rFonts w:ascii="Arial" w:cs="Arial" w:eastAsia="Arial" w:hAnsi="Arial"/>
                <w:b w:val="false"/>
                <w:bCs w:val="false"/>
                <w:i/>
                <w:iCs/>
                <w:sz w:val="16"/>
                <w:szCs w:val="16"/>
              </w:rPr>
              <w:t xml:space="preserve">åååå-mm-dd, tt:mm UTC</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Tillgången upphörde</w:t>
            </w:r>
          </w:p>
          <w:p>
            <w:pPr>
              <w:keepNext w:val="false"/>
              <w:spacing w:after="0" w:before="0" w:line="230"/>
            </w:pPr>
            <w:r>
              <w:rPr>
                <w:rFonts w:ascii="Arial" w:cs="Arial" w:eastAsia="Arial" w:hAnsi="Arial"/>
                <w:b w:val="false"/>
                <w:bCs w:val="false"/>
                <w:i/>
                <w:iCs/>
                <w:sz w:val="16"/>
                <w:szCs w:val="16"/>
              </w:rPr>
              <w:t xml:space="preserve">åååå-mm-dd, tt:mm UTC</w:t>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Nationellt id-nummer, annars födelsedatum</w:t>
            </w:r>
          </w:p>
          <w:p>
            <w:pPr>
              <w:keepNext w:val="false"/>
              <w:spacing w:after="0" w:before="0" w:line="230"/>
            </w:pPr>
            <w:r>
              <w:rPr>
                <w:rFonts w:ascii="Arial" w:cs="Arial" w:eastAsia="Arial" w:hAnsi="Arial"/>
                <w:b w:val="false"/>
                <w:bCs w:val="false"/>
                <w:i/>
                <w:iCs/>
                <w:sz w:val="16"/>
                <w:szCs w:val="16"/>
              </w:rPr>
              <w:t xml:space="preserve">Nummer eller åååå-mm-dd</w:t>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pageBreakBefore/>
      </w:pPr>
    </w:p>
    <w:p>
      <w:pPr>
        <w:keepNext/>
        <w:spacing w:after="100" w:before="300"/>
      </w:pPr>
      <w:r>
        <w:rPr>
          <w:rFonts w:ascii="Georgia" w:cs="Georgia" w:eastAsia="Georgia" w:hAnsi="Georgia"/>
          <w:b w:val="false"/>
          <w:bCs w:val="false"/>
          <w:sz w:val="26"/>
          <w:szCs w:val="26"/>
        </w:rPr>
        <w:t xml:space="preserve">Avsnitt för personer med permanent tillgång till all insiderinformation (mall 2, frivilligt)</w:t>
      </w:r>
    </w:p>
    <w:p>
      <w:pPr>
        <w:keepNext/>
        <w:spacing w:after="100" w:before="0" w:line="260"/>
      </w:pPr>
      <w:r>
        <w:rPr>
          <w:rFonts w:ascii="Arial" w:cs="Arial" w:eastAsia="Arial" w:hAnsi="Arial"/>
          <w:b w:val="false"/>
          <w:bCs w:val="false"/>
          <w:i w:val="false"/>
          <w:iCs w:val="false"/>
          <w:sz w:val="20"/>
          <w:szCs w:val="20"/>
        </w:rPr>
        <w:t xml:space="preserve">Fälten följer mall 2 i bilaga I till förordning (EU) 2026/1291. Avsnittet är frivilligt (artikel 2.2 andra stycket i samma förordning).</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8570"/>
      </w:tblGrid>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Datum och klockslag då avsnittet upprättades</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 tt:mm UTC</w:t>
            </w:r>
          </w:p>
        </w:tc>
      </w:tr>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Datum och klockslag då avsnittet senast uppdaterades</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 tt:mm UTC</w:t>
            </w:r>
          </w:p>
        </w:tc>
      </w:tr>
      <w:tr>
        <w:trPr>
          <w:cantSplit/>
          <w:trHeight w:val="420" w:hRule="atLeast"/>
        </w:trPr>
        <w:tc>
          <w:tcPr>
            <w:tcW w:type="dxa" w:w="6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bCs/>
                <w:i w:val="false"/>
                <w:iCs w:val="false"/>
                <w:sz w:val="18"/>
                <w:szCs w:val="18"/>
              </w:rPr>
              <w:t xml:space="preserve">Datum för överföring till Finansinspektionen</w:t>
            </w:r>
          </w:p>
        </w:tc>
        <w:tc>
          <w:tcPr>
            <w:tcW w:type="dxa" w:w="85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åååå-mm-dd</w:t>
            </w:r>
          </w:p>
        </w:tc>
      </w:tr>
    </w:tbl>
    <w:p>
      <w:pPr>
        <w:spacing w:after="60"/>
      </w:pPr>
    </w:p>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500"/>
        <w:gridCol w:w="1900"/>
        <w:gridCol w:w="3470"/>
        <w:gridCol w:w="1900"/>
        <w:gridCol w:w="1900"/>
        <w:gridCol w:w="2400"/>
      </w:tblGrid>
      <w:tr>
        <w:trPr>
          <w:cantSplit/>
          <w:tblHeader/>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Förnamn</w:t>
            </w:r>
          </w:p>
          <w:p>
            <w:pPr>
              <w:keepNext w:val="false"/>
              <w:spacing w:after="0" w:before="0" w:line="230"/>
            </w:pPr>
            <w:r>
              <w:rPr>
                <w:rFonts w:ascii="Arial" w:cs="Arial" w:eastAsia="Arial" w:hAnsi="Arial"/>
                <w:b w:val="false"/>
                <w:bCs w:val="false"/>
                <w:i/>
                <w:iCs/>
                <w:sz w:val="16"/>
                <w:szCs w:val="16"/>
              </w:rPr>
              <w:t xml:space="preserve">För en tjänsteleverantör: kontaktpersonens förnamn</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Efternamn</w:t>
            </w:r>
          </w:p>
          <w:p>
            <w:pPr>
              <w:keepNext w:val="false"/>
              <w:spacing w:after="0" w:before="0" w:line="230"/>
            </w:pPr>
            <w:r>
              <w:rPr>
                <w:rFonts w:ascii="Arial" w:cs="Arial" w:eastAsia="Arial" w:hAnsi="Arial"/>
                <w:b w:val="false"/>
                <w:bCs w:val="false"/>
                <w:i/>
                <w:iCs/>
                <w:sz w:val="16"/>
                <w:szCs w:val="16"/>
              </w:rPr>
              <w:t xml:space="preserve">För en tjänsteleverantör: kontaktpersonens efternamn</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Telefonnummer i tjänsten</w:t>
            </w:r>
          </w:p>
          <w:p>
            <w:pPr>
              <w:keepNext w:val="false"/>
              <w:spacing w:after="0" w:before="0" w:line="230"/>
            </w:pPr>
            <w:r>
              <w:rPr>
                <w:rFonts w:ascii="Arial" w:cs="Arial" w:eastAsia="Arial" w:hAnsi="Arial"/>
                <w:b w:val="false"/>
                <w:bCs w:val="false"/>
                <w:i/>
                <w:iCs/>
                <w:sz w:val="16"/>
                <w:szCs w:val="16"/>
              </w:rPr>
              <w:t xml:space="preserve">Fast direktnummer och mobil, siffror utan blanksteg</w:t>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Funktion och skäl till tillgången</w:t>
            </w:r>
          </w:p>
          <w:p>
            <w:pPr>
              <w:keepNext w:val="false"/>
              <w:spacing w:after="0" w:before="0" w:line="230"/>
            </w:pPr>
            <w:r>
              <w:rPr>
                <w:rFonts w:ascii="Arial" w:cs="Arial" w:eastAsia="Arial" w:hAnsi="Arial"/>
                <w:b w:val="false"/>
                <w:bCs w:val="false"/>
                <w:i/>
                <w:iCs/>
                <w:sz w:val="16"/>
                <w:szCs w:val="16"/>
              </w:rPr>
              <w:t xml:space="preserve">För en tjänsteleverantör även företagets namn och adress</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Permanent tillgång gavs</w:t>
            </w:r>
          </w:p>
          <w:p>
            <w:pPr>
              <w:keepNext w:val="false"/>
              <w:spacing w:after="0" w:before="0" w:line="230"/>
            </w:pPr>
            <w:r>
              <w:rPr>
                <w:rFonts w:ascii="Arial" w:cs="Arial" w:eastAsia="Arial" w:hAnsi="Arial"/>
                <w:b w:val="false"/>
                <w:bCs w:val="false"/>
                <w:i/>
                <w:iCs/>
                <w:sz w:val="16"/>
                <w:szCs w:val="16"/>
              </w:rPr>
              <w:t xml:space="preserve">åååå-mm-dd, tt:mm UTC</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Permanent tillgång upphörde</w:t>
            </w:r>
          </w:p>
          <w:p>
            <w:pPr>
              <w:keepNext w:val="false"/>
              <w:spacing w:after="0" w:before="0" w:line="230"/>
            </w:pPr>
            <w:r>
              <w:rPr>
                <w:rFonts w:ascii="Arial" w:cs="Arial" w:eastAsia="Arial" w:hAnsi="Arial"/>
                <w:b w:val="false"/>
                <w:bCs w:val="false"/>
                <w:i/>
                <w:iCs/>
                <w:sz w:val="16"/>
                <w:szCs w:val="16"/>
              </w:rPr>
              <w:t xml:space="preserve">åååå-mm-dd, tt:mm UTC</w:t>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50" w:before="0" w:line="260"/>
            </w:pPr>
            <w:r>
              <w:rPr>
                <w:rFonts w:ascii="Arial" w:cs="Arial" w:eastAsia="Arial" w:hAnsi="Arial"/>
                <w:b/>
                <w:bCs/>
                <w:i w:val="false"/>
                <w:iCs w:val="false"/>
                <w:sz w:val="18"/>
                <w:szCs w:val="18"/>
              </w:rPr>
              <w:t xml:space="preserve">Nationellt id-nummer, annars födelsedatum</w:t>
            </w:r>
          </w:p>
          <w:p>
            <w:pPr>
              <w:keepNext w:val="false"/>
              <w:spacing w:after="0" w:before="0" w:line="230"/>
            </w:pPr>
            <w:r>
              <w:rPr>
                <w:rFonts w:ascii="Arial" w:cs="Arial" w:eastAsia="Arial" w:hAnsi="Arial"/>
                <w:b w:val="false"/>
                <w:bCs w:val="false"/>
                <w:i/>
                <w:iCs/>
                <w:sz w:val="16"/>
                <w:szCs w:val="16"/>
              </w:rPr>
              <w:t xml:space="preserve">Nummer eller åååå-mm-dd</w:t>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5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4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sectPr>
          <w:footerReference w:type="default" r:id="rId8"/>
          <w:pgSz w:w="16838" w:h="11906" w:orient="landscape"/>
          <w:pgMar w:top="1134" w:right="1134" w:bottom="1134" w:left="1134" w:header="708" w:footer="708" w:gutter="0"/>
          <w:pgNumType/>
          <w:docGrid w:linePitch="360"/>
        </w:sectPr>
      </w:pPr>
    </w:p>
    <w:p>
      <w:pPr>
        <w:keepNext/>
        <w:spacing w:after="100" w:before="300"/>
      </w:pPr>
      <w:r>
        <w:rPr>
          <w:rFonts w:ascii="Georgia" w:cs="Georgia" w:eastAsia="Georgia" w:hAnsi="Georgia"/>
          <w:b w:val="false"/>
          <w:bCs w:val="false"/>
          <w:sz w:val="26"/>
          <w:szCs w:val="26"/>
        </w:rPr>
        <w:t xml:space="preserve">Underrättelse och skriftlig bekräftelse</w:t>
      </w:r>
    </w:p>
    <w:p>
      <w:pPr>
        <w:keepNext/>
        <w:spacing w:after="100" w:before="0" w:line="260"/>
      </w:pPr>
      <w:r>
        <w:rPr>
          <w:rFonts w:ascii="Arial" w:cs="Arial" w:eastAsia="Arial" w:hAnsi="Arial"/>
          <w:b w:val="false"/>
          <w:bCs w:val="false"/>
          <w:i w:val="false"/>
          <w:iCs w:val="false"/>
          <w:sz w:val="20"/>
          <w:szCs w:val="20"/>
        </w:rPr>
        <w:t xml:space="preserve">Bolaget ska vidta alla rimliga åtgärder för att var och en på förteckningen skriftligen bekräftar att de känner till de rättsliga skyldigheterna och sanktionerna vid insiderhandel och olagligt röjande (artikel 18.2 i MAR). Finansinspektionen anser att en bekräftelse normalt räcker, men att en ny kan behövas när lång tid har gått (fi.se, Insiderförteckningar).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200"/>
        <w:gridCol w:w="2200"/>
        <w:gridCol w:w="2238"/>
      </w:tblGrid>
      <w:tr>
        <w:trPr>
          <w:cantSplit/>
          <w:tblHeader/>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Namn</w:t>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Underrättelse skickad (datum)</w:t>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Bekräftelse mottagen (datum)</w:t>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Var bekräftelsen sparas</w:t>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Förvaring och versioner</w:t>
      </w:r>
    </w:p>
    <w:p>
      <w:pPr>
        <w:keepNext/>
        <w:spacing w:after="100" w:before="0" w:line="260"/>
      </w:pPr>
      <w:r>
        <w:rPr>
          <w:rFonts w:ascii="Arial" w:cs="Arial" w:eastAsia="Arial" w:hAnsi="Arial"/>
          <w:b w:val="false"/>
          <w:bCs w:val="false"/>
          <w:i w:val="false"/>
          <w:iCs w:val="false"/>
          <w:sz w:val="20"/>
          <w:szCs w:val="20"/>
        </w:rPr>
        <w:t xml:space="preserve">Finansinspektionen anser att förteckningen ska vara elektronisk. Den kan föras i en fil, till exempel i Excel, om åtkomsten är begränsad till utpekade personer, uppgifterna är korrekta och hålls uppdaterade och tidigare versioner sparas, till exempel som en ny kopia vid varje uppdatering (FI:s frågor och svar om insiderförteckningar 1.3 och 1.4).</w:t>
      </w:r>
    </w:p>
    <w:p>
      <w:pPr>
        <w:keepNext/>
        <w:spacing w:after="100" w:before="0" w:line="260"/>
      </w:pPr>
      <w:r>
        <w:rPr>
          <w:rFonts w:ascii="Arial" w:cs="Arial" w:eastAsia="Arial" w:hAnsi="Arial"/>
          <w:b w:val="false"/>
          <w:bCs w:val="false"/>
          <w:i w:val="false"/>
          <w:iCs w:val="false"/>
          <w:sz w:val="20"/>
          <w:szCs w:val="20"/>
        </w:rPr>
        <w:t xml:space="preserve">Förordningen kräver inte elektronisk form av bolag på tillväxtmarknader, men att fullständigheten, integriteten och konfidentialiteten säkerställs (skäl 9 i förordning (EU) 2026/1291), också när förteckningen överförs till Finansinspektionen (artikel 2.3 i samma förordning).</w:t>
      </w:r>
    </w:p>
    <w:p>
      <w:pPr>
        <w:keepNext/>
        <w:spacing w:after="100" w:before="0" w:line="260"/>
      </w:pPr>
      <w:r>
        <w:rPr>
          <w:rFonts w:ascii="Arial" w:cs="Arial" w:eastAsia="Arial" w:hAnsi="Arial"/>
          <w:b w:val="false"/>
          <w:bCs w:val="false"/>
          <w:i w:val="false"/>
          <w:iCs w:val="false"/>
          <w:sz w:val="20"/>
          <w:szCs w:val="20"/>
        </w:rPr>
        <w:t xml:space="preserve">Förteckningen sparas i minst fem år efter att den upprättades eller uppdaterades (artikel 18.5 i MAR). Personuppgifterna sparas i högst fem år efter att personen togs bort från förteckningen (artikel 2.4 i förordning (EU) 2026/1291).</w:t>
      </w:r>
    </w:p>
    <w:p>
      <w:pPr>
        <w:keepNext/>
        <w:spacing w:after="100" w:before="0" w:line="260"/>
      </w:pPr>
      <w:r>
        <w:rPr>
          <w:rFonts w:ascii="Arial" w:cs="Arial" w:eastAsia="Arial" w:hAnsi="Arial"/>
          <w:b w:val="false"/>
          <w:bCs w:val="false"/>
          <w:i w:val="false"/>
          <w:iCs w:val="false"/>
          <w:sz w:val="20"/>
          <w:szCs w:val="20"/>
        </w:rPr>
        <w:t xml:space="preserve">Låter Bolaget någon annan föra förteckningen är Bolaget fortfarande fullt ansvarigt (artikel 18.2 andra stycket i MAR).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600"/>
        <w:gridCol w:w="3638"/>
        <w:gridCol w:w="2100"/>
      </w:tblGrid>
      <w:tr>
        <w:trPr>
          <w:cantSplit/>
          <w:tblHeader/>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Version</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Datum och klockslag (UTC)</w:t>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Vad som ändrades</w:t>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Ändrad av</w:t>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Begäran från Finansinspektionen</w:t>
      </w:r>
    </w:p>
    <w:p>
      <w:pPr>
        <w:keepNext/>
        <w:spacing w:after="100" w:before="0" w:line="260"/>
      </w:pPr>
      <w:r>
        <w:rPr>
          <w:rFonts w:ascii="Arial" w:cs="Arial" w:eastAsia="Arial" w:hAnsi="Arial"/>
          <w:b w:val="false"/>
          <w:bCs w:val="false"/>
          <w:i w:val="false"/>
          <w:iCs w:val="false"/>
          <w:sz w:val="20"/>
          <w:szCs w:val="20"/>
        </w:rPr>
        <w:t xml:space="preserve">Förteckningen skickas inte in. Den lämnas till Finansinspektionen så snart som möjligt när myndigheten begär den (artikel 18.6 tredje stycket i MAR), till den handläggare som begärt den och med diarienummer om ett sådant angetts. Uppgifterna ska finnas hos Bolaget, och det duger inte att först samla in dem från personerna (fi.se, Insiderförteckningar).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00"/>
        <w:gridCol w:w="2100"/>
        <w:gridCol w:w="1900"/>
        <w:gridCol w:w="1338"/>
      </w:tblGrid>
      <w:tr>
        <w:trPr>
          <w:cantSplit/>
          <w:tblHeader/>
        </w:trPr>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Begäran mottagen (datum)</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Handläggare och diarienummer</w:t>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Avsnitt som begärdes</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Överlämnat (datum och klockslag)</w:t>
            </w:r>
          </w:p>
        </w:tc>
        <w:tc>
          <w:tcPr>
            <w:tcW w:type="dxa" w:w="13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Hur</w:t>
            </w:r>
          </w:p>
        </w:tc>
      </w:tr>
      <w:tr>
        <w:trPr>
          <w:cantSplit/>
          <w:trHeight w:val="420" w:hRule="atLeast"/>
        </w:trPr>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Källor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(EU) nr 596/2014 om marknadsmissbruk (MAR), konsoliderad version 5 juni 2026, EUR-Lex: https://eur-lex.europa.eu/legal-content/SV/TXT/?uri=CELEX:02014R0596-20260605</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genomförandeförordning (EU) 2026/1291 om insiderförteckningars format, i kraft 5 juli 2026, EUR-Lex: https://eur-lex.europa.eu/legal-content/SV/TXT/?uri=CELEX:32026R1291</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genomförandeförordning (EU) 2022/1210 om insiderförteckningars format, upphävd 5 juli 2026, EUR-Lex: https://eur-lex.europa.eu/legal-content/SV/TXT/?uri=CELEX:32022R1210</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Lag (2016:1306) med kompletterande bestämmelser till EU:s marknadsmissbruksförordning, ändrad t.o.m. SFS 2026:1074, Riksdagen: https://www.riksdagen.se/sv/dokument-och-lagar/dokument/svensk-forfattningssamling/lag-20161306-med-kompletterande-bestammelser_sfs-2016-1306/</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(1979:988) om svensk normaltid, Riksdagen: https://www.riksdagen.se/sv/dokument-och-lagar/dokument/svensk-forfattningssamling/forordning-1979988-om-svensk-normaltid_sfs-1979-988/</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(2001:127) om sommartid, Riksdagen: https://www.riksdagen.se/sv/dokument-och-lagar/dokument/svensk-forfattningssamling/forordning-2001127-om-sommartid_sfs-2001-127/</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Insiderinformation, senast granskad 28 september 2026: https://www.fi.se/sv/marknad/emittenter/insiderinformation/</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Insiderförteckningar, senast granskad 23 juni 2026: https://www.fi.se/sv/marknad/emittenter/insiderinformation/insiderforteckningar/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Frågor och svar om insiderinformation, senast ändrat 25 juni 2026: https://www.fi.se/contentassets/3c85228438a048c799fc93d94db113bc/fragor-och-svar-om-insiderinformation-26.pdf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Frågor och svar om insiderförteckningar, senast ändrat 23 juni 2026: https://www.fi.se/contentassets/9e395ef1c39c493d982977c35fe188fd/fragor-och-svar-om-insiderforteckningar.pdf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Spotlights regelverk för bolag noterade på Spotlight, gäller från 1 juli 2026: https://www.spotlightstockmarket.com/media/fzepmbze/260701-spotlights-regelverk-foer-bolag-noterade-paa-spotlight.pdf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Nasdaq First North Growth Market Rulebook for Issuers of Shares, gäller från 1 augusti 2026: https://www.nasdaq.com/docs/2026/07/31/Nasdaq_First_North_Growth_Market_Rulebook_1%20August_2026_Final.pdf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Regler för NGM Growth Market, gäller från 1 maj 2026: https://www.ngm.se/hubfs/Nytt%20Regelverk%20-%20NGM%20Growth%20Market%20(SWE).pdf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NGM Market Notice 26-24: NGM Strengthens Its Growth Offering with Market Rebrand and Enhanced Rulebook, Cision: https://news.cision.com/ngm-market-notice/r/26-24-ngm-strengthens-its-growth-offering-with-market-rebrand-and-enhanced-rulebook,c4327852</w:t>
      </w:r>
    </w:p>
    <w:p>
      <w:pPr>
        <w:pBdr>
          <w:top w:val="single" w:color="A6A6A6" w:sz="4" w:space="6"/>
        </w:pBdr>
        <w:spacing w:before="300"/>
      </w:pPr>
      <w:r>
        <w:rPr>
          <w:rFonts w:ascii="Arial" w:cs="Arial" w:eastAsia="Arial" w:hAnsi="Arial"/>
          <w:b w:val="false"/>
          <w:bCs w:val="false"/>
          <w:i/>
          <w:iCs/>
          <w:sz w:val="18"/>
          <w:szCs w:val="18"/>
        </w:rPr>
        <w:t xml:space="preserve">Mallen beskriver regelverket i allmänhet och ersätter inte en bedömning av det enskilda fallet. Uppdaterad 29 september 2026.</w:t>
      </w:r>
    </w:p>
    <w:sectPr>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idfot">
    <w:name w:val="Sidfot"/>
    <w:rPr>
      <w:rFonts w:ascii="Arial" w:cs="Arial" w:eastAsia="Arial" w:hAnsi="Arial"/>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Insiderförteckning</dc:title>
  <dc:creator>Emissionskittet</dc:creator>
  <dc:description>Artikel 18 i MAR och genomförandeförordning (EU) 2026/1291, mall 1 och mall 2</dc:description>
  <cp:lastModifiedBy>Un-named</cp:lastModifiedBy>
  <cp:revision>1</cp:revision>
  <dcterms:created xsi:type="dcterms:W3CDTF">2026-09-29T16:11:01.951Z</dcterms:created>
  <dcterms:modified xsi:type="dcterms:W3CDTF">2026-09-29T16:11:01.951Z</dcterms:modified>
</cp:coreProperties>
</file>

<file path=docProps/custom.xml><?xml version="1.0" encoding="utf-8"?>
<Properties xmlns="http://schemas.openxmlformats.org/officeDocument/2006/custom-properties" xmlns:vt="http://schemas.openxmlformats.org/officeDocument/2006/docPropsVTypes"/>
</file>