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Georgia" w:cs="Georgia" w:eastAsia="Georgia" w:hAnsi="Georgia"/>
          <w:sz w:val="40"/>
          <w:szCs w:val="40"/>
        </w:rPr>
        <w:t xml:space="preserve">Loggbok för ett insiderprojekt</w:t>
      </w:r>
    </w:p>
    <w:p>
      <w:pPr>
        <w:pBdr>
          <w:bottom w:val="single" w:color="A6A6A6" w:sz="4" w:space="6"/>
        </w:pBdr>
        <w:spacing w:after="240"/>
      </w:pPr>
      <w:r>
        <w:rPr>
          <w:rFonts w:ascii="Arial" w:cs="Arial" w:eastAsia="Arial" w:hAnsi="Arial"/>
          <w:b w:val="false"/>
          <w:bCs w:val="false"/>
          <w:i w:val="false"/>
          <w:iCs w:val="false"/>
          <w:sz w:val="20"/>
          <w:szCs w:val="20"/>
        </w:rPr>
        <w:t xml:space="preserve">För en över tiden pågående process, till exempel en nyemission, enligt MAR i lydelsen från 5 juni 2026</w:t>
      </w:r>
    </w:p>
    <w:p>
      <w:pPr>
        <w:keepNext/>
        <w:spacing w:after="100" w:before="300"/>
      </w:pPr>
      <w:r>
        <w:rPr>
          <w:rFonts w:ascii="Georgia" w:cs="Georgia" w:eastAsia="Georgia" w:hAnsi="Georgia"/>
          <w:b w:val="false"/>
          <w:bCs w:val="false"/>
          <w:sz w:val="26"/>
          <w:szCs w:val="26"/>
        </w:rPr>
        <w:t xml:space="preserve">Så använder ni loggboken</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Skriv en rad för varje händelse i processen samma stund som den inträffar.</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Pröva vid varje rad om informationen är insiderinformation: den är specifik, har inte offentliggjorts, rör direkt eller indirekt Bolaget eller Bolagets finansiella instrument och skulle sannolikt ha en väsentlig inverkan på priset, det vill säga en förnuftig investerare skulle sannolikt använda den som en del av grunden för sitt investeringsbeslut (artikel 7.1 a och 7.4 i MAR).</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Ett mellanliggande steg i en över tiden pågående process är insiderinformation om steget i sig uppfyller kriterierna (artikel 7.2 och 7.3 i MAR).</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Sedan den 5 juni 2026 behöver insiderinformation som rör mellanliggande steg inte offentliggöras medan processen pågår. När den slutliga händelsen har inträffat offentliggörs den så snart som möjligt, så att allmänheten kan göra en fullständig och korrekt bedömning (artikel 17.1 i MAR, FI:s frågor och svar om insiderinformation 1.2 och artikel 4.3 i förordning (EU) 2024/2809).</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För en nyemission är den slutliga händelsen styrelsens slutliga beslut om kapitalökningen (bilaga I punkt 5 i delegerad förordning (EU) 2026/789). Ska aktieägarna godkänna beslutet är styrelsens beslut att lägga fram förslaget den tidpunkt som gäller (skäl 6 i samma förordning).</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Information om Bolagets finansiella ställning, till exempel ett kapitalbehov som avviker från tidigare besked, kan vara egen insiderinformation och inte ett mellansteg i emissionen. Den offentliggörs då så snart som möjligt eller skjuts upp enligt uppskovsmallen, och uppskov är inte möjligt när den står i kontrast till Bolagets senaste besked (bilaga II punkt 3 i delegerad förordning (EU) 2026/789).</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Att inte offentliggöra ett mellansteg är inget uppskov. Det kräver varken uppskovsbeslut eller underrättelse till Finansinspektionen (artikel 17.4a i MAR och FI:s frågor och svar om insiderinformation 4.1).</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Informationen om mellansteget hålls konfidentiell tills den slutliga händelsen har offentliggjorts (artikel 17.1a i MAR och skäl 69 i förordning (EU) 2024/2809). Insiderförteckningen förs även för mellansteg (FI:s frågor och svar om insiderinformation 4.1), och förbudet mot insiderhandel gäller (artikel 14 i MAR och fi.se, Insiderinformation).</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Kan konfidentialiteten inte längre säkerställas offentliggörs informationen så snart som möjligt. Det gäller också när ett rykte uttryckligen hänför sig till informationen och är tillräckligt tydligt för att visa det (artikel 17.7 i MAR).</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Vid en misstänkt eller konstaterad läcka av insiderinformation, eller en annan omständighet som kan kräva handelsstopp, underrättar bolag på First North omedelbart både börsen och Certified Adviser (First North Rulebook punkt 6.2.1). Bolag på Spotlight informerar skyndsamt Spotlight om omständigheter som kan föranleda handelsstopp (Spotlights regelverk, avsnittet Händelse av extraordinär betydelse). På NGM prövas kravet på förhandsinformation enligt punkt 4.3.2 även när ett mellansteg måste offentliggöras. Underrättelserna ersätter inte offentliggörandet.</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Innan Bolaget eller en rådgivare sonderar garanter eller investerare prövas om sonderingen innebär att insiderinformation lämnas ut. Slutsatsen och skälen skrivs ned (artikel 11.3 i MAR). Loggboken ersätter inte rutinen för marknadssondering (artikel 11 i MAR).</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Loggboken ersätter inte insiderförteckningen. Personerna, deras uppgifter och tider i UTC förs i förteckningen (artikel 18 i MAR och genomförandeförordning (EU) 2026/1291).</w:t>
      </w:r>
    </w:p>
    <w:p>
      <w:pPr>
        <w:keepNext/>
        <w:spacing w:after="100" w:before="300"/>
      </w:pPr>
      <w:r>
        <w:rPr>
          <w:rFonts w:ascii="Georgia" w:cs="Georgia" w:eastAsia="Georgia" w:hAnsi="Georgia"/>
          <w:b w:val="false"/>
          <w:bCs w:val="false"/>
          <w:sz w:val="26"/>
          <w:szCs w:val="26"/>
        </w:rPr>
        <w:t xml:space="preserve">Marknadsplatsen</w:t>
      </w:r>
    </w:p>
    <w:p>
      <w:pPr>
        <w:keepNext/>
        <w:spacing w:after="100" w:before="0" w:line="260"/>
      </w:pPr>
      <w:r>
        <w:rPr>
          <w:rFonts w:ascii="Arial" w:cs="Arial" w:eastAsia="Arial" w:hAnsi="Arial"/>
          <w:b w:val="false"/>
          <w:bCs w:val="false"/>
          <w:i w:val="false"/>
          <w:iCs w:val="false"/>
          <w:sz w:val="20"/>
          <w:szCs w:val="20"/>
        </w:rPr>
        <w:t xml:space="preserve">Bolag på Spotlight bör som utgångspunkt hålla Spotlight informerad när ett mellansteg är insiderinformation som ännu inte offentliggjorts (kommentaren till punkt 3.8 i Spotlights regelverk och Spotlights vägledning om MAR avsnitt 5).</w:t>
      </w:r>
    </w:p>
    <w:p>
      <w:pPr>
        <w:keepNext/>
        <w:spacing w:after="100" w:before="0" w:line="260"/>
      </w:pPr>
      <w:r>
        <w:rPr>
          <w:rFonts w:ascii="Arial" w:cs="Arial" w:eastAsia="Arial" w:hAnsi="Arial"/>
          <w:b w:val="false"/>
          <w:bCs w:val="false"/>
          <w:i w:val="false"/>
          <w:iCs w:val="false"/>
          <w:sz w:val="20"/>
          <w:szCs w:val="20"/>
        </w:rPr>
        <w:t xml:space="preserve">Bolag på First North underrättar Certified Adviser så snart som möjligt om nyemissioner (First North Rulebook punkt 6.2.4).</w:t>
      </w:r>
    </w:p>
    <w:p>
      <w:pPr>
        <w:keepNext/>
        <w:spacing w:after="100" w:before="0" w:line="260"/>
      </w:pPr>
      <w:r>
        <w:rPr>
          <w:rFonts w:ascii="Arial" w:cs="Arial" w:eastAsia="Arial" w:hAnsi="Arial"/>
          <w:b w:val="false"/>
          <w:bCs w:val="false"/>
          <w:i w:val="false"/>
          <w:iCs w:val="false"/>
          <w:sz w:val="20"/>
          <w:szCs w:val="20"/>
        </w:rPr>
        <w:t xml:space="preserve">Före offentliggörandet av den slutliga händelsen: Spotlight underrättas om informationen förväntas vara av extraordinär betydelse för Bolaget och aktierna (Spotlights regelverk, avsnittet Förhandsinformation). På First North underrättas börsen och Certified Adviser så snart som praktiskt möjligt om informationen förväntas vara av extraordinär betydelse (First North Rulebook punkt 6.2.3). NGM underrättas om informationen förväntas få väsentlig inverkan på priset på aktierna (NGM:s regler punkt 4.3.2).</w:t>
      </w:r>
    </w:p>
    <w:p>
      <w:pPr>
        <w:keepNext/>
        <w:spacing w:after="100" w:before="300"/>
      </w:pPr>
      <w:r>
        <w:rPr>
          <w:rFonts w:ascii="Georgia" w:cs="Georgia" w:eastAsia="Georgia" w:hAnsi="Georgia"/>
          <w:b w:val="false"/>
          <w:bCs w:val="false"/>
          <w:sz w:val="26"/>
          <w:szCs w:val="26"/>
        </w:rPr>
        <w:t xml:space="preserve">Projektet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blHeader/>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Uppgift</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Ifylles</w:t>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Projektets namn eller kodnamn</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Bolagets fullständiga namn</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Vad processen ska leda till</w:t>
            </w:r>
          </w:p>
          <w:p>
            <w:pPr>
              <w:keepNext w:val="false"/>
              <w:spacing w:after="0" w:before="0" w:line="230"/>
            </w:pPr>
            <w:r>
              <w:rPr>
                <w:rFonts w:ascii="Arial" w:cs="Arial" w:eastAsia="Arial" w:hAnsi="Arial"/>
                <w:b w:val="false"/>
                <w:bCs w:val="false"/>
                <w:i/>
                <w:iCs/>
                <w:sz w:val="16"/>
                <w:szCs w:val="16"/>
              </w:rPr>
              <w:t xml:space="preserve">Den slutliga händelsen. Bilaga I till delegerad förordning (EU) 2026/789 räknar upp 35 processer och när var och en ska offentliggöras.</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Loggboken öppnad (datum och klockslag)</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Insiderförteckningens avsnitt: namn och när det öppnades (UTC)</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Ansvarig för loggboken: namn och befattning</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sectPr>
          <w:footerReference w:type="default" r:id="rId7"/>
          <w:pgSz w:w="11906" w:h="16838" w:orient="portrait"/>
          <w:pgMar w:top="1134" w:right="1134" w:bottom="1134" w:left="1134" w:header="708" w:footer="708" w:gutter="0"/>
          <w:pgNumType/>
          <w:docGrid w:linePitch="360"/>
        </w:sectPr>
      </w:pPr>
    </w:p>
    <w:p>
      <w:pPr>
        <w:keepNext/>
        <w:spacing w:after="100" w:before="300"/>
      </w:pPr>
      <w:r>
        <w:rPr>
          <w:rFonts w:ascii="Georgia" w:cs="Georgia" w:eastAsia="Georgia" w:hAnsi="Georgia"/>
          <w:b w:val="false"/>
          <w:bCs w:val="false"/>
          <w:sz w:val="26"/>
          <w:szCs w:val="26"/>
        </w:rPr>
        <w:t xml:space="preserve">Exempel på ifyllda rader</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
        <w:gridCol w:w="1150"/>
        <w:gridCol w:w="1100"/>
        <w:gridCol w:w="2600"/>
        <w:gridCol w:w="2000"/>
        <w:gridCol w:w="2000"/>
        <w:gridCol w:w="1800"/>
        <w:gridCol w:w="2070"/>
        <w:gridCol w:w="1400"/>
      </w:tblGrid>
      <w:tr>
        <w:trPr>
          <w:cantSplit/>
          <w:tblHeader/>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Nr</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Datum</w:t>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Klockslag, svensk tid</w:t>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Händelse</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Vem fick kännedom</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Insiderinformation? Skäl</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Mellansteg, slutlig händelse eller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Åtgärd</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Bedömd av</w:t>
            </w:r>
          </w:p>
        </w:tc>
      </w:tr>
      <w:tr>
        <w:trPr>
          <w:cantSplit/>
          <w:trHeight w:val="42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2 november</w:t>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16.40</w:t>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Styrelsen i Bolaget AB konstaterar ett kapitalbehov.</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Styrelsen, vd, finanschef</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Nej. Kapitalbehovet prövat för sig: Bolaget AB skrev i sin senaste delårsrapport att ett kapitaltillskott behövs under året. Behovet är redan offentligt och står inte i kontrast till tidigare besked.</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Prövat för sig, inte ett mellansteg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Ingen. Hade behovet avvikit väsentligt från tidigare besked hade det prövats som egen insiderinformation.</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Ordförande och vd</w:t>
            </w:r>
          </w:p>
        </w:tc>
      </w:tr>
      <w:tr>
        <w:trPr>
          <w:cantSplit/>
          <w:trHeight w:val="42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2</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2 november</w:t>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16.50</w:t>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Styrelsen beslutar att förbereda en garanterad företrädesemission och att anlita en rådgivare.</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Styrelsen, vd, finanschef</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Ja. Beslutet är konkret, och en emission skulle sannolikt påverka priset väsentligt.</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Mellansteg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Avsnitt i insiderförteckningen öppnat 15.50 UTC. Pressmeddelande för läcka skrivet.</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Ordförande och vd</w:t>
            </w:r>
          </w:p>
        </w:tc>
      </w:tr>
      <w:tr>
        <w:trPr>
          <w:cantSplit/>
          <w:trHeight w:val="42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3</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9 november</w:t>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10.15</w:t>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Rådgivaren har skrivit ned att sonderingen lämnar ut insiderinformation och sonderar en tänkbar garant.</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Rådgivarens kontaktperson (på förteckningen sedan 2 november) och garanten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Ja, oförändrat.</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Mellansteg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Sonderingen dokumenterad av rådgivaren.</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Vd</w:t>
            </w:r>
          </w:p>
        </w:tc>
      </w:tr>
      <w:tr>
        <w:trPr>
          <w:cantSplit/>
          <w:trHeight w:val="42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4</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15 december</w:t>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17.30</w:t>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Styrelsen beslutar om företrädesemissionen under förutsättning av bolagsstämmans godkännande.</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Styrelsen, vd, finanschef, rådgivaren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Ja.</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Slutlig händelse</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Marknadsplatsen underrättad 17.45. Pressmeddelande 18.05. Tillgången avslutad i förteckningen 17.05 UTC.</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Ordförande</w:t>
            </w:r>
          </w:p>
        </w:tc>
      </w:tr>
    </w:tbl>
    <w:p>
      <w:pPr>
        <w:spacing w:after="60"/>
      </w:pPr>
    </w:p>
    <w:p>
      <w:pPr>
        <w:keepNext/>
        <w:spacing w:after="100" w:before="0" w:line="260"/>
      </w:pPr>
      <w:r>
        <w:rPr>
          <w:rFonts w:ascii="Arial" w:cs="Arial" w:eastAsia="Arial" w:hAnsi="Arial"/>
          <w:b w:val="false"/>
          <w:bCs w:val="false"/>
          <w:i/>
          <w:iCs/>
          <w:sz w:val="20"/>
          <w:szCs w:val="20"/>
        </w:rPr>
        <w:t xml:space="preserve">Exemplet är påhittat. Tiderna illustrerar registreringen och anger ingen tillåten väntetid.</w:t>
      </w:r>
    </w:p>
    <w:p>
      <w:pPr>
        <w:pageBreakBefore/>
      </w:pPr>
    </w:p>
    <w:p>
      <w:pPr>
        <w:keepNext/>
        <w:spacing w:after="100" w:before="300"/>
      </w:pPr>
      <w:r>
        <w:rPr>
          <w:rFonts w:ascii="Georgia" w:cs="Georgia" w:eastAsia="Georgia" w:hAnsi="Georgia"/>
          <w:b w:val="false"/>
          <w:bCs w:val="false"/>
          <w:sz w:val="26"/>
          <w:szCs w:val="26"/>
        </w:rPr>
        <w:t xml:space="preserve">Tidslinje</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
        <w:gridCol w:w="1150"/>
        <w:gridCol w:w="1100"/>
        <w:gridCol w:w="2600"/>
        <w:gridCol w:w="2000"/>
        <w:gridCol w:w="2000"/>
        <w:gridCol w:w="1800"/>
        <w:gridCol w:w="2070"/>
        <w:gridCol w:w="1400"/>
      </w:tblGrid>
      <w:tr>
        <w:trPr>
          <w:cantSplit/>
          <w:tblHeader/>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Nr</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Datum</w:t>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Klockslag, svensk tid</w:t>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Händelse</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Vem fick kännedom</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Insiderinformation? Skäl</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Mellansteg, slutlig händelse eller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Åtgärd</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Bedömd av</w:t>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2</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3</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4</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5</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6</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7</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8</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9</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10</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11</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700" w:hRule="atLeast"/>
        </w:trPr>
        <w:tc>
          <w:tcPr>
            <w:tcW w:type="dxa" w:w="45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12</w:t>
            </w:r>
          </w:p>
        </w:tc>
        <w:tc>
          <w:tcPr>
            <w:tcW w:type="dxa" w:w="115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1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6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Mellansteg</w:t>
            </w:r>
          </w:p>
          <w:p>
            <w:pPr>
              <w:keepNext w:val="false"/>
              <w:spacing w:after="50" w:before="0" w:line="260"/>
            </w:pPr>
            <w:r>
              <w:rPr>
                <w:rFonts w:ascii="Arial" w:cs="Arial" w:eastAsia="Arial" w:hAnsi="Arial"/>
                <w:b w:val="false"/>
                <w:bCs w:val="false"/>
                <w:i w:val="false"/>
                <w:iCs w:val="false"/>
                <w:sz w:val="18"/>
                <w:szCs w:val="18"/>
              </w:rPr>
              <w:t xml:space="preserve">☐ Slutlig händelse</w:t>
            </w:r>
          </w:p>
          <w:p>
            <w:pPr>
              <w:keepNext w:val="false"/>
              <w:spacing w:after="0" w:before="0" w:line="260"/>
            </w:pPr>
            <w:r>
              <w:rPr>
                <w:rFonts w:ascii="Arial" w:cs="Arial" w:eastAsia="Arial" w:hAnsi="Arial"/>
                <w:b w:val="false"/>
                <w:bCs w:val="false"/>
                <w:i w:val="false"/>
                <w:iCs w:val="false"/>
                <w:sz w:val="18"/>
                <w:szCs w:val="18"/>
              </w:rPr>
              <w:t xml:space="preserve">☐ Prövat för sig</w:t>
            </w:r>
          </w:p>
        </w:tc>
        <w:tc>
          <w:tcPr>
            <w:tcW w:type="dxa" w:w="207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sectPr>
          <w:footerReference w:type="default" r:id="rId8"/>
          <w:pgSz w:w="16838" w:h="11906" w:orient="landscape"/>
          <w:pgMar w:top="1134" w:right="1134" w:bottom="1134" w:left="1134" w:header="708" w:footer="708" w:gutter="0"/>
          <w:pgNumType/>
          <w:docGrid w:linePitch="360"/>
        </w:sectPr>
      </w:pPr>
    </w:p>
    <w:p>
      <w:pPr>
        <w:keepNext/>
        <w:spacing w:after="100" w:before="300"/>
      </w:pPr>
      <w:r>
        <w:rPr>
          <w:rFonts w:ascii="Georgia" w:cs="Georgia" w:eastAsia="Georgia" w:hAnsi="Georgia"/>
          <w:b w:val="false"/>
          <w:bCs w:val="false"/>
          <w:sz w:val="26"/>
          <w:szCs w:val="26"/>
        </w:rPr>
        <w:t xml:space="preserve">Avslut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5038"/>
      </w:tblGrid>
      <w:tr>
        <w:trPr>
          <w:cantSplit/>
          <w:tblHeader/>
        </w:trPr>
        <w:tc>
          <w:tcPr>
            <w:tcW w:type="dxa" w:w="46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Uppgift</w:t>
            </w:r>
          </w:p>
        </w:tc>
        <w:tc>
          <w:tcPr>
            <w:tcW w:type="dxa" w:w="50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Ifylles</w:t>
            </w:r>
          </w:p>
        </w:tc>
      </w:tr>
      <w:tr>
        <w:trPr>
          <w:cantSplit/>
          <w:trHeight w:val="420" w:hRule="atLeast"/>
        </w:trPr>
        <w:tc>
          <w:tcPr>
            <w:tcW w:type="dxa" w:w="4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Den slutliga händelsen inträffade (datum och klockslag)</w:t>
            </w:r>
          </w:p>
        </w:tc>
        <w:tc>
          <w:tcPr>
            <w:tcW w:type="dxa" w:w="5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4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Marknadsplatsen och, på First North, Certified Adviser underrättade före offentliggörandet (datum och klockslag)</w:t>
            </w:r>
          </w:p>
        </w:tc>
        <w:tc>
          <w:tcPr>
            <w:tcW w:type="dxa" w:w="5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4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Pressmeddelandet offentliggjordes (datum och klockslag)</w:t>
            </w:r>
          </w:p>
        </w:tc>
        <w:tc>
          <w:tcPr>
            <w:tcW w:type="dxa" w:w="5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4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Tillgången avslutad i insiderförteckningen (datum och klockslag i UTC)</w:t>
            </w:r>
          </w:p>
        </w:tc>
        <w:tc>
          <w:tcPr>
            <w:tcW w:type="dxa" w:w="5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4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Om processen avbryts</w:t>
            </w:r>
          </w:p>
          <w:p>
            <w:pPr>
              <w:keepNext w:val="false"/>
              <w:spacing w:after="0" w:before="0" w:line="230"/>
            </w:pPr>
            <w:r>
              <w:rPr>
                <w:rFonts w:ascii="Arial" w:cs="Arial" w:eastAsia="Arial" w:hAnsi="Arial"/>
                <w:b w:val="false"/>
                <w:bCs w:val="false"/>
                <w:i/>
                <w:iCs/>
                <w:sz w:val="16"/>
                <w:szCs w:val="16"/>
              </w:rPr>
              <w:t xml:space="preserve">Är informationen fortfarande insiderinformation, och är avbrottet i sig insiderinformation? Ange datum, klockslag och vem som bedömde.</w:t>
            </w:r>
          </w:p>
        </w:tc>
        <w:tc>
          <w:tcPr>
            <w:tcW w:type="dxa" w:w="5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Källor</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Förordning (EU) nr 596/2014 om marknadsmissbruk (MAR), konsoliderad version 5 juni 2026, EUR-Lex: https://eur-lex.europa.eu/legal-content/SV/TXT/?uri=CELEX:02014R0596-20260605</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Förordning (EU) 2024/2809 (noteringsakten), EUR-Lex: https://eur-lex.europa.eu/legal-content/SV/TXT/?uri=CELEX:32024R2809</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Kommissionens delegerade förordning (EU) 2026/789 om över tiden pågående processer och uppskov, i kraft 19 juli 2026, EUR-Lex: https://eur-lex.europa.eu/legal-content/SV/TXT/?uri=CELEX:32026R0789</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Kommissionens genomförandeförordning (EU) 2026/1291 om insiderförteckningars format, i kraft 5 juli 2026, EUR-Lex: https://eur-lex.europa.eu/legal-content/SV/TXT/?uri=CELEX:32026R1291</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Insiderinformation, senast granskad 28 september 2026: https://www.fi.se/sv/marknad/emittenter/insiderinformation/</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Frågor och svar om insiderinformation, senast ändrat 25 juni 2026: https://www.fi.se/contentassets/3c85228438a048c799fc93d94db113bc/fragor-och-svar-om-insiderinformation-26.pdf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Spotlights regelverk för bolag noterade på Spotlight, gäller från 1 juli 2026: https://www.spotlightstockmarket.com/media/fzepmbze/260701-spotlights-regelverk-foer-bolag-noterade-paa-spotlight.pdf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Spotlights vägledning gällande tillämpning av MAR och hantering av insiderinformation, gäller från 5 juni 2026: https://spotlightstockmarket.com/media/1zwjq0wa/vaegledning-fraan-spotlight-gaellande-tillaempning-av-mar-och-hantering-av-insiderinformation.pdf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Nasdaq First North Growth Market Rulebook for Issuers of Shares, gäller från 1 augusti 2026: https://www.nasdaq.com/docs/2026/07/31/Nasdaq_First_North_Growth_Market_Rulebook_1%20August_2026_Final.pdf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Regler för NGM Growth Market, gäller från 1 maj 2026: https://www.ngm.se/hubfs/Nytt%20Regelverk%20-%20NGM%20Growth%20Market%20(SWE).pdf</w:t>
      </w:r>
    </w:p>
    <w:p>
      <w:pPr>
        <w:pBdr>
          <w:top w:val="single" w:color="A6A6A6" w:sz="4" w:space="6"/>
        </w:pBdr>
        <w:spacing w:before="300"/>
      </w:pPr>
      <w:r>
        <w:rPr>
          <w:rFonts w:ascii="Arial" w:cs="Arial" w:eastAsia="Arial" w:hAnsi="Arial"/>
          <w:b w:val="false"/>
          <w:bCs w:val="false"/>
          <w:i/>
          <w:iCs/>
          <w:sz w:val="18"/>
          <w:szCs w:val="18"/>
        </w:rPr>
        <w:t xml:space="preserve">Mallen beskriver regelverket i allmänhet och ersätter inte en bedömning av det enskilda fallet. Uppdaterad 29 september 2026.</w:t>
      </w:r>
    </w:p>
    <w:sectPr>
      <w:footerReference w:type="default" r:id="rId9"/>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idfot"/>
      <w:jc w:val="center"/>
    </w:pPr>
    <w:r>
      <w:rPr>
        <w:rFonts w:ascii="Arial" w:cs="Arial" w:eastAsia="Arial" w:hAnsi="Arial"/>
        <w:sz w:val="16"/>
        <w:szCs w:val="16"/>
      </w:rPr>
      <w:t xml:space="preserve">Sida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av </w:t>
    </w:r>
    <w:r>
      <w:rPr>
        <w:rFonts w:ascii="Arial" w:cs="Arial" w:eastAsia="Arial" w:hAnsi="Arial"/>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idfot"/>
      <w:jc w:val="center"/>
    </w:pPr>
    <w:r>
      <w:rPr>
        <w:rFonts w:ascii="Arial" w:cs="Arial" w:eastAsia="Arial" w:hAnsi="Arial"/>
        <w:sz w:val="16"/>
        <w:szCs w:val="16"/>
      </w:rPr>
      <w:t xml:space="preserve">Sida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av </w:t>
    </w:r>
    <w:r>
      <w:rPr>
        <w:rFonts w:ascii="Arial" w:cs="Arial" w:eastAsia="Arial" w:hAnsi="Arial"/>
        <w:sz w:val="16"/>
        <w:szCs w:val="16"/>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idfot"/>
      <w:jc w:val="center"/>
    </w:pPr>
    <w:r>
      <w:rPr>
        <w:rFonts w:ascii="Arial" w:cs="Arial" w:eastAsia="Arial" w:hAnsi="Arial"/>
        <w:sz w:val="16"/>
        <w:szCs w:val="16"/>
      </w:rPr>
      <w:t xml:space="preserve">Sida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av </w:t>
    </w:r>
    <w:r>
      <w:rPr>
        <w:rFonts w:ascii="Arial" w:cs="Arial" w:eastAsia="Arial" w:hAnsi="Arial"/>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idfot">
    <w:name w:val="Sidfot"/>
    <w:rPr>
      <w:rFonts w:ascii="Arial" w:cs="Arial" w:eastAsia="Arial" w:hAnsi="Arial"/>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Loggbok för ett insiderprojekt</dc:title>
  <dc:creator>Emissionskittet</dc:creator>
  <dc:description>För en över tiden pågående process, till exempel en nyemission, enligt MAR i lydelsen från 5 juni 2026</dc:description>
  <cp:lastModifiedBy>Un-named</cp:lastModifiedBy>
  <cp:revision>1</cp:revision>
  <dcterms:created xsi:type="dcterms:W3CDTF">2026-09-29T16:11:01.880Z</dcterms:created>
  <dcterms:modified xsi:type="dcterms:W3CDTF">2026-09-29T16:11:01.880Z</dcterms:modified>
</cp:coreProperties>
</file>

<file path=docProps/custom.xml><?xml version="1.0" encoding="utf-8"?>
<Properties xmlns="http://schemas.openxmlformats.org/officeDocument/2006/custom-properties" xmlns:vt="http://schemas.openxmlformats.org/officeDocument/2006/docPropsVTypes"/>
</file>