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Georgia" w:cs="Georgia" w:eastAsia="Georgia" w:hAnsi="Georgia"/>
          <w:sz w:val="40"/>
          <w:szCs w:val="40"/>
        </w:rPr>
        <w:t xml:space="preserve">Beslut om uppskov med offentliggörande av insiderinformation</w:t>
      </w:r>
    </w:p>
    <w:p>
      <w:pPr>
        <w:pBdr>
          <w:bottom w:val="single" w:color="A6A6A6" w:sz="4" w:space="6"/>
        </w:pBdr>
        <w:spacing w:after="240"/>
      </w:pPr>
      <w:r>
        <w:rPr>
          <w:rFonts w:ascii="Arial" w:cs="Arial" w:eastAsia="Arial" w:hAnsi="Arial"/>
          <w:b w:val="false"/>
          <w:bCs w:val="false"/>
          <w:i w:val="false"/>
          <w:iCs w:val="false"/>
          <w:sz w:val="20"/>
          <w:szCs w:val="20"/>
        </w:rPr>
        <w:t xml:space="preserve">Artikel 17.4 i EU:s marknadsmissbruksförordning (MAR) i lydelsen från 5 juni 2026</w:t>
      </w:r>
    </w:p>
    <w:p>
      <w:pPr>
        <w:keepNext/>
        <w:spacing w:after="100" w:before="300"/>
      </w:pPr>
      <w:r>
        <w:rPr>
          <w:rFonts w:ascii="Georgia" w:cs="Georgia" w:eastAsia="Georgia" w:hAnsi="Georgia"/>
          <w:b w:val="false"/>
          <w:bCs w:val="false"/>
          <w:sz w:val="26"/>
          <w:szCs w:val="26"/>
        </w:rPr>
        <w:t xml:space="preserve">Så använder ni mallen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Fyll i mallen samma stund som beslutet fattas. Varje insiderinformation prövas för sig (FI:s frågor och svar om insiderinformation 4.2) och får en egen mall.</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Bolaget får på eget ansvar skjuta upp offentliggörandet bara om alla tre villkoren i artikel 17.4 är uppfyllda (artikel 17.4 första stycket i MAR).</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Villkoren ska vara uppfyllda under hela uppskovet. Är något av dem inte längre uppfyllt offentliggörs informationen så snart som möjligt (FI:s frågor och svar om insiderinformation 4.2 och kommentaren till punkt 3.8 i Spotlights regelverk).</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mellanliggande steg i en över tiden pågående process är inget uppskov. För en nyemission är den slutliga händelsen styrelsens slutliga beslut om kapitalökningen, och stegen som leder dit är mellansteg (artikel 17.1 och 17.4a i MAR och bilaga I punkt 5 i delegerad förordning (EU) 2026/789).</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mellansteg kräver varken uppskovsbeslut eller underrättelse till Finansinspektionen (artikel 17.4a i MAR och FI:s frågor och svar om insiderinformation 4.1). Använd loggboken för sådana steg.</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Information om Bolagets finansiella ställning, till exempel ett kapitalbehov som avviker från tidigare besked, kan vara egen insiderinformation och inte ett mellansteg i emissionen. Den prövas då med denna mall, och uppskov är inte möjligt när den står i kontrast till Bolagets senaste besked (bilaga II punkt 3 i delegerad förordning (EU) 2026/789).</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Ett bolag vars finansiella instrument endast är upptagna till handel på en tillväxtmarknad för små och medelstora företag lämnar den skriftliga förklaringen bara på begäran och behöver inte spara dokumentation om den, förutsatt att bolaget kan motivera beslutet (artikel 17.4 tredje stycket i MAR). Mallen kan användas som underlag för den motiveringen.</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I Sverige lämnas förklaringen till Finansinspektionen bara när myndigheten begär den (2 kap. 2 § lagen (2016:1306) med kompletterande bestämmelser till EU:s marknadsmissbruksförordning).</w:t>
      </w:r>
    </w:p>
    <w:p>
      <w:pPr>
        <w:pStyle w:val="ListParagraph"/>
        <w:keepNext w:val="false"/>
        <w:numPr>
          <w:ilvl w:val="0"/>
          <w:numId w:val="2"/>
        </w:numPr>
        <w:spacing w:after="80" w:before="0" w:line="260"/>
      </w:pPr>
      <w:r>
        <w:rPr>
          <w:rFonts w:ascii="Arial" w:cs="Arial" w:eastAsia="Arial" w:hAnsi="Arial"/>
          <w:b w:val="false"/>
          <w:bCs w:val="false"/>
          <w:i w:val="false"/>
          <w:iCs w:val="false"/>
          <w:sz w:val="20"/>
          <w:szCs w:val="20"/>
        </w:rPr>
        <w:t xml:space="preserve">Del 2 till 6 och del 8 följer uppgifterna i artikel 4.1 i genomförandeförordning (EU) 2016/1055, som enligt Finansinspektionen gäller bolag på reglerad marknad (FI:s frågor och svar om insiderinformation 4.7). Del 9 följer artikel 4.3 i samma förordning.</w:t>
      </w:r>
    </w:p>
    <w:p>
      <w:pPr>
        <w:keepNext/>
        <w:spacing w:after="100" w:before="300"/>
      </w:pPr>
      <w:r>
        <w:rPr>
          <w:rFonts w:ascii="Georgia" w:cs="Georgia" w:eastAsia="Georgia" w:hAnsi="Georgia"/>
          <w:b w:val="false"/>
          <w:bCs w:val="false"/>
          <w:sz w:val="26"/>
          <w:szCs w:val="26"/>
        </w:rPr>
        <w:t xml:space="preserve">1. Bolaget och informationen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Uppgift</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Ifylles</w:t>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Bolagets fullständiga officiella namn</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Marknadsplats</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 Spotlight Stock Market    ☐ Nasdaq First North Growth Market    ☐ NGM Growth Market    ☐ Annan:</w:t>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Vilken insiderinformation det gäller</w:t>
            </w:r>
          </w:p>
          <w:p>
            <w:pPr>
              <w:keepNext w:val="false"/>
              <w:spacing w:after="0" w:before="0" w:line="230"/>
            </w:pPr>
            <w:r>
              <w:rPr>
                <w:rFonts w:ascii="Arial" w:cs="Arial" w:eastAsia="Arial" w:hAnsi="Arial"/>
                <w:b w:val="false"/>
                <w:bCs w:val="false"/>
                <w:i/>
                <w:iCs/>
                <w:sz w:val="16"/>
                <w:szCs w:val="16"/>
              </w:rPr>
              <w:t xml:space="preserve">Beskriv exakt vad informationen består i (FI:s frågor och svar om insiderinformation 4.2).</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Varför det är insiderinformation</w:t>
            </w:r>
          </w:p>
          <w:p>
            <w:pPr>
              <w:keepNext w:val="false"/>
              <w:spacing w:after="50" w:before="0" w:line="230"/>
            </w:pPr>
            <w:r>
              <w:rPr>
                <w:rFonts w:ascii="Arial" w:cs="Arial" w:eastAsia="Arial" w:hAnsi="Arial"/>
                <w:b w:val="false"/>
                <w:bCs w:val="false"/>
                <w:i/>
                <w:iCs/>
                <w:sz w:val="16"/>
                <w:szCs w:val="16"/>
              </w:rPr>
              <w:t xml:space="preserve">Informationen är specifik, har inte offentliggjorts, rör direkt eller indirekt Bolaget eller Bolagets finansiella instrument och skulle sannolikt ha en väsentlig inverkan på priset, det vill säga en förnuftig investerare skulle sannolikt använda den som en del av grunden för sitt investeringsbeslut (artikel 7.1 a, 7.2 och 7.4 i MAR).</w:t>
            </w:r>
          </w:p>
          <w:p>
            <w:pPr>
              <w:keepNext w:val="false"/>
              <w:spacing w:after="0" w:before="0" w:line="230"/>
            </w:pPr>
            <w:r>
              <w:rPr>
                <w:rFonts w:ascii="Arial" w:cs="Arial" w:eastAsia="Arial" w:hAnsi="Arial"/>
                <w:b w:val="false"/>
                <w:bCs w:val="false"/>
                <w:i/>
                <w:iCs/>
                <w:sz w:val="16"/>
                <w:szCs w:val="16"/>
              </w:rPr>
              <w:t xml:space="preserve">Skriv varför vart och ett gäller.</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Är informationen ett mellanliggande steg i en över tiden pågående process?</w:t>
            </w:r>
          </w:p>
        </w:tc>
        <w:tc>
          <w:tcPr>
            <w:tcW w:type="dxa" w:w="6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Nej. Pröva villkoren i del 4.</w:t>
            </w:r>
          </w:p>
          <w:p>
            <w:pPr>
              <w:keepNext w:val="false"/>
              <w:spacing w:after="0" w:before="0" w:line="260"/>
            </w:pPr>
            <w:r>
              <w:rPr>
                <w:rFonts w:ascii="Arial" w:cs="Arial" w:eastAsia="Arial" w:hAnsi="Arial"/>
                <w:b w:val="false"/>
                <w:bCs w:val="false"/>
                <w:i w:val="false"/>
                <w:iCs w:val="false"/>
                <w:sz w:val="18"/>
                <w:szCs w:val="18"/>
              </w:rPr>
              <w:t xml:space="preserve">☐ Ja. Mallen gäller inte. Använd loggboken.</w:t>
            </w:r>
          </w:p>
        </w:tc>
      </w:tr>
    </w:tbl>
    <w:p>
      <w:pPr>
        <w:spacing w:after="60"/>
      </w:pPr>
    </w:p>
    <w:p>
      <w:pPr>
        <w:keepNext/>
        <w:spacing w:after="100" w:before="300"/>
      </w:pPr>
      <w:r>
        <w:rPr>
          <w:rFonts w:ascii="Georgia" w:cs="Georgia" w:eastAsia="Georgia" w:hAnsi="Georgia"/>
          <w:b w:val="false"/>
          <w:bCs w:val="false"/>
          <w:sz w:val="26"/>
          <w:szCs w:val="26"/>
        </w:rPr>
        <w:t xml:space="preserve">2. Tidpunkter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38"/>
        <w:gridCol w:w="2000"/>
        <w:gridCol w:w="3000"/>
      </w:tblGrid>
      <w:tr>
        <w:trPr>
          <w:cantSplit/>
          <w:tblHeader/>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Tidpunkt</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Datum</w:t>
            </w:r>
          </w:p>
        </w:tc>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Klockslag och tidszon</w:t>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När informationen först fanns hos Bolaget</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När beslutet om uppskov fattades</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När Bolaget räknar med att offentliggöra informationen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3. Ansvariga personer</w:t>
      </w:r>
    </w:p>
    <w:p>
      <w:pPr>
        <w:keepNext/>
        <w:spacing w:after="100" w:before="0" w:line="260"/>
      </w:pPr>
      <w:r>
        <w:rPr>
          <w:rFonts w:ascii="Arial" w:cs="Arial" w:eastAsia="Arial" w:hAnsi="Arial"/>
          <w:b w:val="false"/>
          <w:bCs w:val="false"/>
          <w:i w:val="false"/>
          <w:iCs w:val="false"/>
          <w:sz w:val="20"/>
          <w:szCs w:val="20"/>
        </w:rPr>
        <w:t xml:space="preserve">MAR ställer inga krav på vilka befattningar som fattar beslutet, men namnen på de ansvariga anges i underrättelsen till Finansinspektionen (FI:s frågor och svar om insiderinformation 4.8).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38"/>
        <w:gridCol w:w="2700"/>
        <w:gridCol w:w="2300"/>
      </w:tblGrid>
      <w:tr>
        <w:trPr>
          <w:cantSplit/>
          <w:tblHeader/>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Ansvar</w:t>
            </w:r>
          </w:p>
        </w:tc>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Namn</w:t>
            </w:r>
          </w:p>
        </w:tc>
        <w:tc>
          <w:tcPr>
            <w:tcW w:type="dxa" w:w="2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Befattning</w:t>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Beslutade om uppskovet, när det börjar och när det troligen slutar</w:t>
            </w:r>
          </w:p>
        </w:tc>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Bevakar löpande att villkoren är uppfyllda</w:t>
            </w:r>
          </w:p>
        </w:tc>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Beslutar om offentliggörandet</w:t>
            </w:r>
          </w:p>
        </w:tc>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Lämnar underrättelsen och, på begäran, förklaringen till Finansinspektionen</w:t>
            </w:r>
          </w:p>
        </w:tc>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2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4. Villkoren i artikel 17.4</w:t>
      </w:r>
    </w:p>
    <w:p>
      <w:pPr>
        <w:keepNext/>
        <w:spacing w:after="100" w:before="0" w:line="260"/>
      </w:pPr>
      <w:r>
        <w:rPr>
          <w:rFonts w:ascii="Arial" w:cs="Arial" w:eastAsia="Arial" w:hAnsi="Arial"/>
          <w:b w:val="false"/>
          <w:bCs w:val="false"/>
          <w:i w:val="false"/>
          <w:iCs w:val="false"/>
          <w:sz w:val="20"/>
          <w:szCs w:val="20"/>
        </w:rPr>
        <w:t xml:space="preserve">Skriv skälen, inte bara ja eller nej. Kortfattade och allmänna beskrivningar räcker i regel inte när Finansinspektionen begär förklaringen (FI:s frågor och svar om insiderinformation 4.7).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4038"/>
        <w:gridCol w:w="1300"/>
      </w:tblGrid>
      <w:tr>
        <w:trPr>
          <w:cantSplit/>
          <w:tblHeader/>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Villkor</w:t>
            </w:r>
          </w:p>
        </w:tc>
        <w:tc>
          <w:tcPr>
            <w:tcW w:type="dxa" w:w="40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Bedömning och skäl</w:t>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Uppfyllt</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a) Ett omedelbart offentliggörande skadar sannolikt Bolagets legitima intressen (artikel 17.4 a i MAR).</w:t>
            </w:r>
          </w:p>
          <w:p>
            <w:pPr>
              <w:keepNext w:val="false"/>
              <w:spacing w:after="50" w:before="0" w:line="230"/>
            </w:pPr>
            <w:r>
              <w:rPr>
                <w:rFonts w:ascii="Arial" w:cs="Arial" w:eastAsia="Arial" w:hAnsi="Arial"/>
                <w:b w:val="false"/>
                <w:bCs w:val="false"/>
                <w:i/>
                <w:iCs/>
                <w:sz w:val="16"/>
                <w:szCs w:val="16"/>
              </w:rPr>
              <w:t xml:space="preserve">Ange intresset och hur det skadas. Esmas exempel gäller allvarlig och överhängande fara för Bolagets ekonomiska bärkraft, utan att insolvenslagstiftningen är tillämplig, där ett omedelbart offentliggörande allvarligt skulle skada befintliga och potentiella aktieägares intressen genom att äventyra slutförandet av förhandlingar om ekonomisk återhämtning. Exemplet ersätter inte prövningen av samtliga tre villkor (Esmas riktlinjer om uppskjutet offentliggörande, riktlinje 1 punkt b).</w:t>
            </w:r>
          </w:p>
          <w:p>
            <w:pPr>
              <w:keepNext w:val="false"/>
              <w:spacing w:after="0" w:before="0" w:line="230"/>
            </w:pPr>
            <w:r>
              <w:rPr>
                <w:rFonts w:ascii="Arial" w:cs="Arial" w:eastAsia="Arial" w:hAnsi="Arial"/>
                <w:b w:val="false"/>
                <w:bCs w:val="false"/>
                <w:i/>
                <w:iCs/>
                <w:sz w:val="16"/>
                <w:szCs w:val="16"/>
              </w:rPr>
              <w:t xml:space="preserve">Esma har föreslagit att övriga exempel stryks ur riktlinjen (samråd 19 februari 2026, punkt 38 till 43). Avtalsförhandlingar kan vara mellansteg fram till undertecknandet eller en annan likvärdig handling med bindande verkan, och hanteras då i loggboken. Den slutliga händelsen offentliggörs så snart som möjligt, om informationen är insiderinformation och inget giltigt uppskov gäller (bilaga I punkt 1 i delegerad förordning (EU) 2026/789).</w:t>
            </w:r>
          </w:p>
        </w:tc>
        <w:tc>
          <w:tcPr>
            <w:tcW w:type="dxa" w:w="4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b) Informationen står inte i kontrast till Bolagets senaste offentliga tillkännagivande eller annan kommunikation i samma fråga (artikel 17.4 b i MAR).</w:t>
            </w:r>
          </w:p>
          <w:p>
            <w:pPr>
              <w:keepNext w:val="false"/>
              <w:spacing w:after="50" w:before="0" w:line="230"/>
            </w:pPr>
            <w:r>
              <w:rPr>
                <w:rFonts w:ascii="Arial" w:cs="Arial" w:eastAsia="Arial" w:hAnsi="Arial"/>
                <w:b w:val="false"/>
                <w:bCs w:val="false"/>
                <w:i/>
                <w:iCs/>
                <w:sz w:val="16"/>
                <w:szCs w:val="16"/>
              </w:rPr>
              <w:t xml:space="preserve">Ange det senaste beskedet i frågan: datum, kanal och vad som sades. Räkna med pressmeddelanden, webbplats och sociala medier, intervjuer, roadshows, webbinarier och poddar, reklam, lagstadgade uppgifter, kommunikation kring bolagsstämman och annan kommunikation till allmänheten från den som formellt företräder Bolaget (bilaga III till delegerad förordning (EU) 2026/789, i den svenska texten felaktigt rubricerad bilaga II).</w:t>
            </w:r>
          </w:p>
          <w:p>
            <w:pPr>
              <w:keepNext w:val="false"/>
              <w:spacing w:after="50" w:before="0" w:line="230"/>
            </w:pPr>
            <w:r>
              <w:rPr>
                <w:rFonts w:ascii="Arial" w:cs="Arial" w:eastAsia="Arial" w:hAnsi="Arial"/>
                <w:b w:val="false"/>
                <w:bCs w:val="false"/>
                <w:i/>
                <w:iCs/>
                <w:sz w:val="16"/>
                <w:szCs w:val="16"/>
              </w:rPr>
              <w:t xml:space="preserve">Äldre besked vägs in bara när det senaste inte ger ett klart svar (skäl 9 i samma förordning).</w:t>
            </w:r>
          </w:p>
          <w:p>
            <w:pPr>
              <w:keepNext w:val="false"/>
              <w:spacing w:after="0" w:before="0" w:line="230"/>
            </w:pPr>
            <w:r>
              <w:rPr>
                <w:rFonts w:ascii="Arial" w:cs="Arial" w:eastAsia="Arial" w:hAnsi="Arial"/>
                <w:b w:val="false"/>
                <w:bCs w:val="false"/>
                <w:i/>
                <w:iCs/>
                <w:sz w:val="16"/>
                <w:szCs w:val="16"/>
              </w:rPr>
              <w:t xml:space="preserve">Pröva de åtta situationerna i bilaga II, bland annat en väsentlig förändring av tidigare offentliggjorda prognoser, resultat eller mål och behovet av en kapitalökning när Bolaget tidigare lämnat väsentligt annorlunda uppgifter om sin finansiella ställning (bilaga II punkt 1 och 3 i samma förordning).</w:t>
            </w:r>
          </w:p>
        </w:tc>
        <w:tc>
          <w:tcPr>
            <w:tcW w:type="dxa" w:w="4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c) Bolaget kan säkerställa att informationen förblir konfidentiell (artikel 17.4 c i MAR).</w:t>
            </w:r>
          </w:p>
          <w:p>
            <w:pPr>
              <w:keepNext w:val="false"/>
              <w:spacing w:after="0" w:before="0" w:line="230"/>
            </w:pPr>
            <w:r>
              <w:rPr>
                <w:rFonts w:ascii="Arial" w:cs="Arial" w:eastAsia="Arial" w:hAnsi="Arial"/>
                <w:b w:val="false"/>
                <w:bCs w:val="false"/>
                <w:i/>
                <w:iCs/>
                <w:sz w:val="16"/>
                <w:szCs w:val="16"/>
              </w:rPr>
              <w:t xml:space="preserve">Se del 5.</w:t>
            </w:r>
          </w:p>
        </w:tc>
        <w:tc>
          <w:tcPr>
            <w:tcW w:type="dxa" w:w="4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Slutsats</w:t>
            </w:r>
          </w:p>
        </w:tc>
        <w:tc>
          <w:tcPr>
            <w:tcW w:type="dxa" w:w="5338"/>
            <w:gridSpan w:val="2"/>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Alla tre villkoren är uppfyllda. Offentliggörandet skjuts upp.</w:t>
            </w:r>
          </w:p>
          <w:p>
            <w:pPr>
              <w:keepNext w:val="false"/>
              <w:spacing w:after="0" w:before="0" w:line="260"/>
            </w:pPr>
            <w:r>
              <w:rPr>
                <w:rFonts w:ascii="Arial" w:cs="Arial" w:eastAsia="Arial" w:hAnsi="Arial"/>
                <w:b w:val="false"/>
                <w:bCs w:val="false"/>
                <w:i w:val="false"/>
                <w:iCs w:val="false"/>
                <w:sz w:val="18"/>
                <w:szCs w:val="18"/>
              </w:rPr>
              <w:t xml:space="preserve">☐ Något villkor är inte uppfyllt. Informationen offentliggörs så snart som möjligt (artikel 17.1 i MAR).</w:t>
            </w:r>
          </w:p>
        </w:tc>
      </w:tr>
    </w:tbl>
    <w:p>
      <w:pPr>
        <w:spacing w:after="60"/>
      </w:pPr>
    </w:p>
    <w:p>
      <w:pPr>
        <w:keepNext/>
        <w:spacing w:after="100" w:before="300"/>
      </w:pPr>
      <w:r>
        <w:rPr>
          <w:rFonts w:ascii="Georgia" w:cs="Georgia" w:eastAsia="Georgia" w:hAnsi="Georgia"/>
          <w:b w:val="false"/>
          <w:bCs w:val="false"/>
          <w:sz w:val="26"/>
          <w:szCs w:val="26"/>
        </w:rPr>
        <w:t xml:space="preserve">5. Konfidentialitet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blHeader/>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Uppgift</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Ifylles</w:t>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Insiderförteckningens avsnitt för informationen</w:t>
            </w:r>
          </w:p>
          <w:p>
            <w:pPr>
              <w:keepNext w:val="false"/>
              <w:spacing w:after="0" w:before="0" w:line="230"/>
            </w:pPr>
            <w:r>
              <w:rPr>
                <w:rFonts w:ascii="Arial" w:cs="Arial" w:eastAsia="Arial" w:hAnsi="Arial"/>
                <w:b w:val="false"/>
                <w:bCs w:val="false"/>
                <w:i/>
                <w:iCs/>
                <w:sz w:val="16"/>
                <w:szCs w:val="16"/>
              </w:rPr>
              <w:t xml:space="preserve">Namn på avsnittet och när det öppnades, i UTC. Avsnittet öppnas när insiderinformationen uppstår (FI:s frågor och svar om insiderförteckningar 1.1).</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Vilka som känner till informationen</w:t>
            </w:r>
          </w:p>
          <w:p>
            <w:pPr>
              <w:keepNext w:val="false"/>
              <w:spacing w:after="0" w:before="0" w:line="230"/>
            </w:pPr>
            <w:r>
              <w:rPr>
                <w:rFonts w:ascii="Arial" w:cs="Arial" w:eastAsia="Arial" w:hAnsi="Arial"/>
                <w:b w:val="false"/>
                <w:bCs w:val="false"/>
                <w:i/>
                <w:iCs/>
                <w:sz w:val="16"/>
                <w:szCs w:val="16"/>
              </w:rPr>
              <w:t xml:space="preserve">Antal personer och vilka grupper, till exempel styrelse, ledning och rådgivare.</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Informationshinder inom Bolaget</w:t>
            </w:r>
          </w:p>
          <w:p>
            <w:pPr>
              <w:keepNext w:val="false"/>
              <w:spacing w:after="0" w:before="0" w:line="230"/>
            </w:pPr>
            <w:r>
              <w:rPr>
                <w:rFonts w:ascii="Arial" w:cs="Arial" w:eastAsia="Arial" w:hAnsi="Arial"/>
                <w:b w:val="false"/>
                <w:bCs w:val="false"/>
                <w:i/>
                <w:iCs/>
                <w:sz w:val="16"/>
                <w:szCs w:val="16"/>
              </w:rPr>
              <w:t xml:space="preserve">Till exempel begränsad åtkomst till filer och möten och ett kodnamn för projektet.</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Informationshinder mot rådgivare och andra utanför Bolaget</w:t>
            </w:r>
          </w:p>
          <w:p>
            <w:pPr>
              <w:keepNext w:val="false"/>
              <w:spacing w:after="0" w:before="0" w:line="230"/>
            </w:pPr>
            <w:r>
              <w:rPr>
                <w:rFonts w:ascii="Arial" w:cs="Arial" w:eastAsia="Arial" w:hAnsi="Arial"/>
                <w:b w:val="false"/>
                <w:bCs w:val="false"/>
                <w:i/>
                <w:iCs/>
                <w:sz w:val="16"/>
                <w:szCs w:val="16"/>
              </w:rPr>
              <w:t xml:space="preserve">Till exempel sekretessåtaganden. Den som handlar på Bolagets vägnar, som en rådgivare, för en egen insiderförteckning (artikel 18.1 i MAR).</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Skriftlig bekräftelse från alla på förteckningen</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 Ja. Var och en har skriftligen bekräftat att de känner till skyldigheterna och sanktionerna (artikel 18.2 i MAR).</w:t>
            </w:r>
          </w:p>
        </w:tc>
      </w:tr>
      <w:tr>
        <w:trPr>
          <w:cantSplit/>
          <w:trHeight w:val="420" w:hRule="atLeast"/>
        </w:trPr>
        <w:tc>
          <w:tcPr>
            <w:tcW w:type="dxa" w:w="36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Bevakning av kurs, omsättning, media och sociala medier</w:t>
            </w:r>
          </w:p>
          <w:p>
            <w:pPr>
              <w:keepNext w:val="false"/>
              <w:spacing w:after="0" w:before="0" w:line="230"/>
            </w:pPr>
            <w:r>
              <w:rPr>
                <w:rFonts w:ascii="Arial" w:cs="Arial" w:eastAsia="Arial" w:hAnsi="Arial"/>
                <w:b w:val="false"/>
                <w:bCs w:val="false"/>
                <w:i/>
                <w:iCs/>
                <w:sz w:val="16"/>
                <w:szCs w:val="16"/>
              </w:rPr>
              <w:t xml:space="preserve">Vem bevakar och hur ofta.</w:t>
            </w:r>
          </w:p>
        </w:tc>
        <w:tc>
          <w:tcPr>
            <w:tcW w:type="dxa" w:w="60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6. Vad som utlöser offentliggörande</w:t>
      </w:r>
    </w:p>
    <w:p>
      <w:pPr>
        <w:keepNext/>
        <w:spacing w:after="100" w:before="0" w:line="260"/>
      </w:pPr>
      <w:r>
        <w:rPr>
          <w:rFonts w:ascii="Arial" w:cs="Arial" w:eastAsia="Arial" w:hAnsi="Arial"/>
          <w:b w:val="false"/>
          <w:bCs w:val="false"/>
          <w:i w:val="false"/>
          <w:iCs w:val="false"/>
          <w:sz w:val="20"/>
          <w:szCs w:val="20"/>
        </w:rPr>
        <w:t xml:space="preserve">Informationen offentliggörs när något av följande inträffar. Skriv vem som ansvarar.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4438"/>
        <w:gridCol w:w="1800"/>
      </w:tblGrid>
      <w:tr>
        <w:trPr>
          <w:cantSplit/>
          <w:tblHeader/>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Händelse</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Vad som gäller</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Ansvarig</w:t>
            </w:r>
          </w:p>
        </w:tc>
      </w:tr>
      <w:tr>
        <w:trPr>
          <w:cantSplit/>
          <w:trHeight w:val="420" w:hRule="atLeast"/>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Läcka: informationen har nått någon utanför kretsen, eller konfidentialiteten kan av annat skäl inte längre säkerställas</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Offentliggör så snart som möjligt (artikel 17.7 första stycket i MAR).</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Rykte som uttryckligen gäller informationen</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Offentliggör så snart som möjligt när ryktet är tillräckligt tydligt för att visa att konfidentialiteten inte längre kan säkerställas (artikel 17.7 andra stycket i MAR).</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Informationen lämnas ut som ett normalt led i tjänsten</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Är mottagaren inte skyldig att hålla informationen konfidentiell enligt lag, bolagsordning eller avtal: offentliggör samtidigt om röjandet är avsiktligt och så snart som möjligt om det är oavsiktligt (artikel 17.8 i MAR).</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Ett villkor i del 4 är inte längre uppfyllt</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Offentliggör så snart som möjligt (FI:s frågor och svar om insiderinformation 4.2).</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3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Pressmeddelande för läcka</w:t>
            </w:r>
          </w:p>
          <w:p>
            <w:pPr>
              <w:keepNext w:val="false"/>
              <w:spacing w:after="0" w:before="0" w:line="230"/>
            </w:pPr>
            <w:r>
              <w:rPr>
                <w:rFonts w:ascii="Arial" w:cs="Arial" w:eastAsia="Arial" w:hAnsi="Arial"/>
                <w:b w:val="false"/>
                <w:bCs w:val="false"/>
                <w:i/>
                <w:iCs/>
                <w:sz w:val="16"/>
                <w:szCs w:val="16"/>
              </w:rPr>
              <w:t xml:space="preserve">Artikel 4.1 c ii i genomförandeförordning (EU) 2016/1055 gäller de system som gör det möjligt att offentliggöra så snart som möjligt när konfidentialiteten inte längre är garanterad.</w:t>
            </w:r>
          </w:p>
        </w:tc>
        <w:tc>
          <w:tcPr>
            <w:tcW w:type="dxa" w:w="44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 Klart och sparat den:</w:t>
            </w:r>
          </w:p>
        </w:tc>
        <w:tc>
          <w:tcPr>
            <w:tcW w:type="dxa" w:w="18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Skickas av:</w:t>
            </w:r>
          </w:p>
        </w:tc>
      </w:tr>
    </w:tbl>
    <w:p>
      <w:pPr>
        <w:spacing w:after="60"/>
      </w:pPr>
    </w:p>
    <w:p>
      <w:pPr>
        <w:keepNext/>
        <w:spacing w:after="100" w:before="300"/>
      </w:pPr>
      <w:r>
        <w:rPr>
          <w:rFonts w:ascii="Georgia" w:cs="Georgia" w:eastAsia="Georgia" w:hAnsi="Georgia"/>
          <w:b w:val="false"/>
          <w:bCs w:val="false"/>
          <w:sz w:val="26"/>
          <w:szCs w:val="26"/>
        </w:rPr>
        <w:t xml:space="preserve">7. Marknadsplatsen</w:t>
      </w:r>
    </w:p>
    <w:p>
      <w:pPr>
        <w:keepNext/>
        <w:spacing w:after="100" w:before="0" w:line="260"/>
      </w:pPr>
      <w:r>
        <w:rPr>
          <w:rFonts w:ascii="Arial" w:cs="Arial" w:eastAsia="Arial" w:hAnsi="Arial"/>
          <w:b w:val="false"/>
          <w:bCs w:val="false"/>
          <w:i w:val="false"/>
          <w:iCs w:val="false"/>
          <w:sz w:val="20"/>
          <w:szCs w:val="20"/>
        </w:rPr>
        <w:t xml:space="preserve">Fyll i raderna för Bolagets marknadsplats.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500"/>
        <w:gridCol w:w="4638"/>
        <w:gridCol w:w="2000"/>
      </w:tblGrid>
      <w:tr>
        <w:trPr>
          <w:cantSplit/>
          <w:tblHeader/>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Marknadsplats</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När</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Vad regelverket säger</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Gjort (datum, klockslag, av vem)</w:t>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Spotlight</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Vid beslutet</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Spotlight bör som utgångspunkt informeras omedelbart efter beslutet, med en skriftlig redogörelse för beslutet och för hur villkoren uppfylls (kommentaren till punkt 3.8 i Spotlights regelverk och Spotlights vägledning om MAR avsnitt 5).</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Spotlight</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Vid läcka</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Kan konfidentialiteten inte längre säkerställas informeras Spotlight omedelbart och informationen offentliggörs (Spotlights regelverk punkt 3.8).</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Spotlight</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Före offentlig­görandet</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Information som förväntas vara av extraordinär betydelse för Bolaget och aktien anmäls till Spotlight innan den offentliggörs (Spotlights regelverk, avsnittet Förhandsinformation).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First North</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Vid läcka</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Börsen och Certified Adviser underrättas omedelbart om omständigheter som kan kräva handelsstopp, som ett misstänkt eller konstaterat läckage av insiderinformation (First North Rulebook punkt 6.2.1).</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First North</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Före offentlig­görandet</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Börsen och Certified Adviser underrättas så snart det är praktiskt möjligt före offentliggörandet om informationen antas vara av extraordinär betydelse (First North Rulebook punkt 6.2.3).</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NGM Growth Market</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Vid beslutet</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NGM underrättas omedelbart om beslutet att skjuta upp offentliggörandet (NGM:s regler punkt 4.3.3). Kontakten sker normalt per telefon till NGM:s marknadsövervakning, och förklaringen till hur villkoren uppfylls ska dokumenteras skriftligen (handledningstexten till samma punkt).</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NGM Growth Market</w:t>
            </w:r>
          </w:p>
        </w:tc>
        <w:tc>
          <w:tcPr>
            <w:tcW w:type="dxa" w:w="15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Före offentlig­görandet</w:t>
            </w:r>
          </w:p>
        </w:tc>
        <w:tc>
          <w:tcPr>
            <w:tcW w:type="dxa" w:w="4638"/>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NGM underrättas före offentliggörandet om informationen förväntas få väsentlig inverkan på aktiekursen (NGM:s regler punkt 4.3.2).</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8. Omprövning under uppskovet</w:t>
      </w:r>
    </w:p>
    <w:p>
      <w:pPr>
        <w:keepNext/>
        <w:spacing w:after="100" w:before="0" w:line="260"/>
      </w:pPr>
      <w:r>
        <w:rPr>
          <w:rFonts w:ascii="Arial" w:cs="Arial" w:eastAsia="Arial" w:hAnsi="Arial"/>
          <w:b w:val="false"/>
          <w:bCs w:val="false"/>
          <w:i w:val="false"/>
          <w:iCs w:val="false"/>
          <w:sz w:val="20"/>
          <w:szCs w:val="20"/>
        </w:rPr>
        <w:t xml:space="preserve">Anteckna varje omprövning och varje förändring av villkoren under uppskovet. För bolag på reglerad marknad är det ett krav enligt artikel 4.1 c i genomförandeförordning (EU) 2016/1055 (FI:s frågor och svar om insiderinformation 4.7). För bolag på tillväxtmarknad är det underlaget för att kunna motivera beslutet (artikel 17.4 tredje stycket i MAR).</w:t>
      </w:r>
    </w:p>
    <w:p>
      <w:pPr>
        <w:keepNext/>
        <w:spacing w:after="100" w:before="0" w:line="260"/>
      </w:pPr>
      <w:r>
        <w:rPr>
          <w:rFonts w:ascii="Arial" w:cs="Arial" w:eastAsia="Arial" w:hAnsi="Arial"/>
          <w:b w:val="false"/>
          <w:bCs w:val="false"/>
          <w:i w:val="false"/>
          <w:iCs w:val="false"/>
          <w:sz w:val="20"/>
          <w:szCs w:val="20"/>
        </w:rPr>
        <w:t xml:space="preserve">Spotlights regelverk anger att beslutet ska omprövas regelbundet (kommentaren till punkt 3.8).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200"/>
        <w:gridCol w:w="1200"/>
        <w:gridCol w:w="1400"/>
        <w:gridCol w:w="3138"/>
        <w:gridCol w:w="1300"/>
      </w:tblGrid>
      <w:tr>
        <w:trPr>
          <w:cantSplit/>
          <w:tblHeader/>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Datum och klockslag</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a) Legitima intressen</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 Ingen kontrast</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c) Konfidentiellt</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Förändring eller kommentar</w:t>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Vem</w:t>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r>
        <w:trPr>
          <w:cantSplit/>
          <w:trHeight w:val="420" w:hRule="atLeast"/>
        </w:trPr>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2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14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50" w:before="0" w:line="260"/>
            </w:pPr>
            <w:r>
              <w:rPr>
                <w:rFonts w:ascii="Arial" w:cs="Arial" w:eastAsia="Arial" w:hAnsi="Arial"/>
                <w:b w:val="false"/>
                <w:bCs w:val="false"/>
                <w:i w:val="false"/>
                <w:iCs w:val="false"/>
                <w:sz w:val="18"/>
                <w:szCs w:val="18"/>
              </w:rPr>
              <w:t xml:space="preserve">☐ Ja</w:t>
            </w:r>
          </w:p>
          <w:p>
            <w:pPr>
              <w:keepNext w:val="false"/>
              <w:spacing w:after="0" w:before="0" w:line="260"/>
            </w:pPr>
            <w:r>
              <w:rPr>
                <w:rFonts w:ascii="Arial" w:cs="Arial" w:eastAsia="Arial" w:hAnsi="Arial"/>
                <w:b w:val="false"/>
                <w:bCs w:val="false"/>
                <w:i w:val="false"/>
                <w:iCs w:val="false"/>
                <w:sz w:val="18"/>
                <w:szCs w:val="18"/>
              </w:rPr>
              <w:t xml:space="preserve">☐ Nej</w:t>
            </w:r>
          </w:p>
        </w:tc>
        <w:tc>
          <w:tcPr>
            <w:tcW w:type="dxa" w:w="31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3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9. Offentliggörande och underrättelse till Finansinspektionen</w:t>
      </w:r>
    </w:p>
    <w:p>
      <w:pPr>
        <w:keepNext/>
        <w:spacing w:after="100" w:before="0" w:line="260"/>
      </w:pPr>
      <w:r>
        <w:rPr>
          <w:rFonts w:ascii="Arial" w:cs="Arial" w:eastAsia="Arial" w:hAnsi="Arial"/>
          <w:b w:val="false"/>
          <w:bCs w:val="false"/>
          <w:i w:val="false"/>
          <w:iCs w:val="false"/>
          <w:sz w:val="20"/>
          <w:szCs w:val="20"/>
        </w:rPr>
        <w:t xml:space="preserve">Omedelbart efter offentliggörandet informerar Bolaget Finansinspektionen om att offentliggörandet har skjutits upp (artikel 17.4 andra stycket i MAR).</w:t>
      </w:r>
    </w:p>
    <w:p>
      <w:pPr>
        <w:keepNext/>
        <w:spacing w:after="100" w:before="0" w:line="260"/>
      </w:pPr>
      <w:r>
        <w:rPr>
          <w:rFonts w:ascii="Arial" w:cs="Arial" w:eastAsia="Arial" w:hAnsi="Arial"/>
          <w:b w:val="false"/>
          <w:bCs w:val="false"/>
          <w:i w:val="false"/>
          <w:iCs w:val="false"/>
          <w:sz w:val="20"/>
          <w:szCs w:val="20"/>
        </w:rPr>
        <w:t xml:space="preserve">Underrättelsen skickas med e-post till finansinspektionen@fi.se med artikel 17 och Bolagets fullständiga officiella namn i ämnesraden. Mejlet kan skickas krypterat, och Finansinspektionens mall Anmälan om uppskjutet offentliggörande av insiderinformation enligt Mar artikel 17.4 kan användas (fi.se, Insiderinformation, avsnittet Informera Finansinspektionen).</w:t>
      </w:r>
    </w:p>
    <w:p>
      <w:pPr>
        <w:keepNext/>
        <w:spacing w:after="100" w:before="0" w:line="260"/>
      </w:pPr>
      <w:r>
        <w:rPr>
          <w:rFonts w:ascii="Arial" w:cs="Arial" w:eastAsia="Arial" w:hAnsi="Arial"/>
          <w:b w:val="false"/>
          <w:bCs w:val="false"/>
          <w:i w:val="false"/>
          <w:iCs w:val="false"/>
          <w:sz w:val="20"/>
          <w:szCs w:val="20"/>
        </w:rPr>
        <w:t xml:space="preserve">Underrättelsen och förklaringen får skrivas på engelska (FI:s frågor och svar om insiderinformation 4.6).</w:t>
      </w:r>
    </w:p>
    <w:p>
      <w:pPr>
        <w:keepNext/>
        <w:spacing w:after="100" w:before="0" w:line="260"/>
      </w:pPr>
      <w:r>
        <w:rPr>
          <w:rFonts w:ascii="Arial" w:cs="Arial" w:eastAsia="Arial" w:hAnsi="Arial"/>
          <w:b w:val="false"/>
          <w:bCs w:val="false"/>
          <w:i w:val="false"/>
          <w:iCs w:val="false"/>
          <w:sz w:val="20"/>
          <w:szCs w:val="20"/>
        </w:rPr>
        <w:t xml:space="preserve">Mallen utgår från ett bolag registrerat i Sverige. Ett bolag registrerat i ett annat EU-land underrättar den behöriga myndigheten enligt FI:s frågor och svar om insiderinformation 4.4.</w:t>
      </w:r>
    </w:p>
    <w:p>
      <w:pPr>
        <w:keepNext/>
        <w:spacing w:after="100" w:before="0" w:line="260"/>
      </w:pPr>
      <w:r>
        <w:rPr>
          <w:rFonts w:ascii="Arial" w:cs="Arial" w:eastAsia="Arial" w:hAnsi="Arial"/>
          <w:b w:val="false"/>
          <w:bCs w:val="false"/>
          <w:i w:val="false"/>
          <w:iCs w:val="false"/>
          <w:sz w:val="20"/>
          <w:szCs w:val="20"/>
        </w:rPr>
        <w:t xml:space="preserve">Underrättelsen innehåller uppgifterna nedan (artikel 4.3 i genomförandeförordning (EU) 2016/1055 och FI:s frågor och svar om insiderinformation 4.5).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4338"/>
        <w:gridCol w:w="1000"/>
      </w:tblGrid>
      <w:tr>
        <w:trPr>
          <w:cantSplit/>
          <w:tblHeader/>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Uppgift i underrättelsen</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Ifylles</w:t>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Klar</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Bolagets fullständiga officiella namn</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Anmälarens förnamn, efternamn och befattning</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Anmälarens e-postadress och telefonnummer i tjänsten</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Pressmeddelandets rubrik och referensnummer, om distributören tilldelar ett</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Datum och klockslag för offentliggörandet</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Datum och klockslag för beslutet om uppskov</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Namn på alla som ansvarade för beslutet om uppskov</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r>
        <w:trPr>
          <w:cantSplit/>
          <w:trHeight w:val="420" w:hRule="atLeast"/>
        </w:trPr>
        <w:tc>
          <w:tcPr>
            <w:tcW w:type="dxa" w:w="43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Underrättelsen skickad (datum och klockslag)</w:t>
            </w:r>
          </w:p>
        </w:tc>
        <w:tc>
          <w:tcPr>
            <w:tcW w:type="dxa" w:w="43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1000"/>
            <w:tcBorders>
              <w:top w:val="single" w:color="A6A6A6" w:sz="4"/>
              <w:left w:val="single" w:color="A6A6A6" w:sz="4"/>
              <w:bottom w:val="single" w:color="A6A6A6" w:sz="4"/>
              <w:right w:val="single" w:color="A6A6A6" w:sz="4"/>
            </w:tcBorders>
            <w:tcMar>
              <w:top w:type="dxa" w:w="60"/>
              <w:left w:type="dxa" w:w="90"/>
              <w:bottom w:type="dxa" w:w="60"/>
              <w:right w:type="dxa" w:w="90"/>
            </w:tcMar>
          </w:tcPr>
          <w:p>
            <w:pPr>
              <w:keepNext w:val="false"/>
              <w:spacing w:after="0" w:before="0" w:line="260"/>
            </w:pPr>
            <w:r>
              <w:rPr>
                <w:rFonts w:ascii="Arial" w:cs="Arial" w:eastAsia="Arial" w:hAnsi="Arial"/>
                <w:b w:val="false"/>
                <w:bCs w:val="false"/>
                <w:i w:val="false"/>
                <w:iCs w:val="false"/>
                <w:sz w:val="18"/>
                <w:szCs w:val="18"/>
              </w:rPr>
              <w:t xml:space="preserve">☐</w:t>
            </w:r>
          </w:p>
        </w:tc>
      </w:tr>
    </w:tbl>
    <w:p>
      <w:pPr>
        <w:spacing w:after="60"/>
      </w:pPr>
    </w:p>
    <w:p>
      <w:pPr>
        <w:keepNext/>
        <w:spacing w:after="100" w:before="220"/>
      </w:pPr>
      <w:r>
        <w:rPr>
          <w:rFonts w:ascii="Georgia" w:cs="Georgia" w:eastAsia="Georgia" w:hAnsi="Georgia"/>
          <w:b/>
          <w:bCs/>
          <w:sz w:val="22"/>
          <w:szCs w:val="22"/>
        </w:rPr>
        <w:t xml:space="preserve">Om Finansinspektionen begär förklaringen</w:t>
      </w:r>
    </w:p>
    <w:p>
      <w:pPr>
        <w:keepNext/>
        <w:spacing w:after="100" w:before="0" w:line="260"/>
      </w:pPr>
      <w:r>
        <w:rPr>
          <w:rFonts w:ascii="Arial" w:cs="Arial" w:eastAsia="Arial" w:hAnsi="Arial"/>
          <w:b w:val="false"/>
          <w:bCs w:val="false"/>
          <w:i w:val="false"/>
          <w:iCs w:val="false"/>
          <w:sz w:val="20"/>
          <w:szCs w:val="20"/>
        </w:rPr>
        <w:t xml:space="preserve">Förklaringen visar hur villkoren i artikel 17.4 var uppfyllda. Den ska vara så utförlig att Finansinspektionen kan bedöma villkoren utan att begära mer material. Hänvisar Bolaget till interna rutiner bifogas de eller beskrivs tydligt (FI:s frågor och svar om insiderinformation 4.7).</w:t>
      </w:r>
    </w:p>
    <w:p>
      <w:pPr>
        <w:keepNext/>
        <w:spacing w:after="100" w:before="0" w:line="260"/>
      </w:pPr>
      <w:r>
        <w:rPr>
          <w:rFonts w:ascii="Arial" w:cs="Arial" w:eastAsia="Arial" w:hAnsi="Arial"/>
          <w:b w:val="false"/>
          <w:bCs w:val="false"/>
          <w:i w:val="false"/>
          <w:iCs w:val="false"/>
          <w:sz w:val="20"/>
          <w:szCs w:val="20"/>
        </w:rPr>
        <w:t xml:space="preserve">Förklaringen innehåller också uppgifterna i underrättelsen (artikel 4.4 i genomförandeförordning (EU) 2016/1055).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200"/>
        <w:gridCol w:w="3238"/>
      </w:tblGrid>
      <w:tr>
        <w:trPr>
          <w:cantSplit/>
          <w:tblHeader/>
        </w:trPr>
        <w:tc>
          <w:tcPr>
            <w:tcW w:type="dxa" w:w="3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Begäran mottagen (datum)</w:t>
            </w:r>
          </w:p>
        </w:tc>
        <w:tc>
          <w:tcPr>
            <w:tcW w:type="dxa" w:w="3200"/>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Förklaringen skickad (datum)</w:t>
            </w:r>
          </w:p>
        </w:tc>
        <w:tc>
          <w:tcPr>
            <w:tcW w:type="dxa" w:w="3238"/>
            <w:tcBorders>
              <w:top w:val="single" w:color="A6A6A6" w:sz="4"/>
              <w:left w:val="single" w:color="A6A6A6" w:sz="4"/>
              <w:bottom w:val="single" w:color="A6A6A6" w:sz="4"/>
              <w:right w:val="single" w:color="A6A6A6" w:sz="4"/>
            </w:tcBorders>
            <w:tcMar>
              <w:top w:type="dxa" w:w="60"/>
              <w:left w:type="dxa" w:w="90"/>
              <w:bottom w:type="dxa" w:w="60"/>
              <w:right w:type="dxa" w:w="90"/>
            </w:tcMar>
            <w:vAlign w:val="bottom"/>
          </w:tcPr>
          <w:p>
            <w:pPr>
              <w:keepNext w:val="false"/>
              <w:spacing w:after="0" w:before="0" w:line="260"/>
            </w:pPr>
            <w:r>
              <w:rPr>
                <w:rFonts w:ascii="Arial" w:cs="Arial" w:eastAsia="Arial" w:hAnsi="Arial"/>
                <w:b/>
                <w:bCs/>
                <w:i w:val="false"/>
                <w:iCs w:val="false"/>
                <w:sz w:val="18"/>
                <w:szCs w:val="18"/>
              </w:rPr>
              <w:t xml:space="preserve">Skickad av</w:t>
            </w:r>
          </w:p>
        </w:tc>
      </w:tr>
      <w:tr>
        <w:trPr>
          <w:cantSplit/>
          <w:trHeight w:val="420" w:hRule="atLeast"/>
        </w:trPr>
        <w:tc>
          <w:tcPr>
            <w:tcW w:type="dxa" w:w="3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200"/>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c>
          <w:tcPr>
            <w:tcW w:type="dxa" w:w="3238"/>
            <w:tcBorders>
              <w:top w:val="single" w:color="A6A6A6" w:sz="4"/>
              <w:left w:val="single" w:color="A6A6A6" w:sz="4"/>
              <w:bottom w:val="single" w:color="A6A6A6" w:sz="4"/>
              <w:right w:val="single" w:color="A6A6A6" w:sz="4"/>
            </w:tcBorders>
            <w:tcMar>
              <w:top w:type="dxa" w:w="60"/>
              <w:left w:type="dxa" w:w="90"/>
              <w:bottom w:type="dxa" w:w="60"/>
              <w:right w:type="dxa" w:w="90"/>
            </w:tcMar>
          </w:tcPr>
          <w:p>
            <w:r>
              <w:rPr>
                <w:rFonts w:ascii="Arial" w:cs="Arial" w:eastAsia="Arial" w:hAnsi="Arial"/>
                <w:b w:val="false"/>
                <w:bCs w:val="false"/>
                <w:i w:val="false"/>
                <w:iCs w:val="false"/>
                <w:sz w:val="18"/>
                <w:szCs w:val="18"/>
              </w:rPr>
              <w:t xml:space="preserve"/>
            </w:r>
          </w:p>
        </w:tc>
      </w:tr>
    </w:tbl>
    <w:p>
      <w:pPr>
        <w:spacing w:after="60"/>
      </w:pPr>
    </w:p>
    <w:p>
      <w:pPr>
        <w:keepNext/>
        <w:spacing w:after="100" w:before="300"/>
      </w:pPr>
      <w:r>
        <w:rPr>
          <w:rFonts w:ascii="Georgia" w:cs="Georgia" w:eastAsia="Georgia" w:hAnsi="Georgia"/>
          <w:b w:val="false"/>
          <w:bCs w:val="false"/>
          <w:sz w:val="26"/>
          <w:szCs w:val="26"/>
        </w:rPr>
        <w:t xml:space="preserve">Källor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Förordning (EU) nr 596/2014 om marknadsmissbruk (MAR), konsoliderad version 5 juni 2026, EUR-Lex: https://eur-lex.europa.eu/legal-content/SV/TXT/?uri=CELEX:02014R0596-20260605</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delegerade förordning (EU) 2026/789 om över tiden pågående processer och uppskov, i kraft 19 juli 2026, EUR-Lex: https://eur-lex.europa.eu/legal-content/SV/TXT/?uri=CELEX:32026R0789</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genomförandeförordning (EU) 2016/1055 om offentliggörande och uppskjutande, EUR-Lex: https://eur-lex.europa.eu/legal-content/SV/TXT/?uri=CELEX:32016R1055</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Kommissionens genomförandeförordning (EU) 2026/1291 om insiderförteckningars format, i kraft 5 juli 2026, EUR-Lex: https://eur-lex.europa.eu/legal-content/SV/TXT/?uri=CELEX:32026R1291</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Lag (2016:1306) med kompletterande bestämmelser till EU:s marknadsmissbruksförordning, ändrad t.o.m. SFS 2026:1074, Riksdagen: https://www.riksdagen.se/sv/dokument-och-lagar/dokument/svensk-forfattningssamling/lag-20161306-med-kompletterande-bestammelser_sfs-2016-1306/</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Insiderinformation, senast granskad 28 september 2026: https://www.fi.se/sv/marknad/emittenter/insiderinformation/</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Insiderförteckningar, senast granskad 23 juni 2026: https://www.fi.se/sv/marknad/emittenter/insiderinformation/insiderforteckningar/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Frågor och svar om insiderinformation, senast ändrat 25 juni 2026: https://www.fi.se/contentassets/3c85228438a048c799fc93d94db113bc/fragor-och-svar-om-insiderinformation-26.pdf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Frågor och svar om insiderförteckningar, senast ändrat 23 juni 2026: https://www.fi.se/contentassets/9e395ef1c39c493d982977c35fe188fd/fragor-och-svar-om-insiderforteckningar.pdf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Finansinspektionen: Blanketter, Anmälan om uppskjutet offentliggörande av insiderinformation enligt Mar artikel 17.4: https://www.fi.se/sv/ansok-och-rapportera/blanketter/</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Esma: Riktlinjer om MAR, uppskjutet offentliggörande av insiderinformation (ESMA/2016/1478 SV), länkade från fi.se: https://www.esma.europa.eu/sites/default/files/library/esma-2016-1478_sv.pdf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Esma: MAR Guidelines, Delay in the disclosure of inside information and interactions with prudential supervision, ändrade 13 april 2022 (ESMA70-159-4966): https://www.esma.europa.eu/sites/default/files/library/esma70-156-4966_mar_gls-delay_in_the_disclosure_of_inside_information.pdf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Esma: Consultation Paper on MAR Guidelines on delay in the disclosure of inside information, 19 februari 2026 (ESMA74-268544963-1567): https://www.esma.europa.eu/sites/default/files/2026-02/ESMA74-268544963-1567_Consultation_Paper_on_MAR_Guidelines_on_Delayed_Disclosure.pdf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Spotlights regelverk för bolag noterade på Spotlight, gäller från 1 juli 2026: https://www.spotlightstockmarket.com/media/fzepmbze/260701-spotlights-regelverk-foer-bolag-noterade-paa-spotlight.pdf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Spotlights vägledning gällande tillämpning av MAR och hantering av insiderinformation, gäller från 5 juni 2026: https://spotlightstockmarket.com/media/1zwjq0wa/vaegledning-fraan-spotlight-gaellande-tillaempning-av-mar-och-hantering-av-insiderinformation.pdf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Nasdaq First North Growth Market Rulebook for Issuers of Shares, gäller från 1 augusti 2026: https://www.nasdaq.com/docs/2026/07/31/Nasdaq_First_North_Growth_Market_Rulebook_1%20August_2026_Final.pdf</w:t>
      </w:r>
    </w:p>
    <w:p>
      <w:pPr>
        <w:pStyle w:val="ListParagraph"/>
        <w:numPr>
          <w:ilvl w:val="0"/>
          <w:numId w:val="2"/>
        </w:numPr>
        <w:spacing w:after="60" w:line="240"/>
      </w:pPr>
      <w:r>
        <w:rPr>
          <w:rFonts w:ascii="Arial" w:cs="Arial" w:eastAsia="Arial" w:hAnsi="Arial"/>
          <w:b w:val="false"/>
          <w:bCs w:val="false"/>
          <w:i w:val="false"/>
          <w:iCs w:val="false"/>
          <w:sz w:val="16"/>
          <w:szCs w:val="16"/>
        </w:rPr>
        <w:t xml:space="preserve">Regler för NGM Growth Market, gäller från 1 maj 2026: https://www.ngm.se/hubfs/Nytt%20Regelverk%20-%20NGM%20Growth%20Market%20(SWE).pdf</w:t>
      </w:r>
    </w:p>
    <w:p>
      <w:pPr>
        <w:pBdr>
          <w:top w:val="single" w:color="A6A6A6" w:sz="4" w:space="6"/>
        </w:pBdr>
        <w:spacing w:before="300"/>
      </w:pPr>
      <w:r>
        <w:rPr>
          <w:rFonts w:ascii="Arial" w:cs="Arial" w:eastAsia="Arial" w:hAnsi="Arial"/>
          <w:b w:val="false"/>
          <w:bCs w:val="false"/>
          <w:i/>
          <w:iCs/>
          <w:sz w:val="18"/>
          <w:szCs w:val="18"/>
        </w:rPr>
        <w:t xml:space="preserve">Mallen beskriver regelverket i allmänhet och ersätter inte en bedömning av det enskilda fallet. Uppdaterad 29 september 2026.</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idfot"/>
      <w:jc w:val="center"/>
    </w:pPr>
    <w:r>
      <w:rPr>
        <w:rFonts w:ascii="Arial" w:cs="Arial" w:eastAsia="Arial" w:hAnsi="Arial"/>
        <w:sz w:val="16"/>
        <w:szCs w:val="16"/>
      </w:rPr>
      <w:t xml:space="preserve">Sida </w:t>
    </w:r>
    <w:r>
      <w:rPr>
        <w:rFonts w:ascii="Arial" w:cs="Arial" w:eastAsia="Arial" w:hAnsi="Arial"/>
        <w:sz w:val="16"/>
        <w:szCs w:val="16"/>
      </w:rPr>
      <w:fldChar w:fldCharType="begin"/>
      <w:instrText xml:space="preserve">PAGE</w:instrText>
      <w:fldChar w:fldCharType="separate"/>
      <w:fldChar w:fldCharType="end"/>
    </w:r>
    <w:r>
      <w:rPr>
        <w:rFonts w:ascii="Arial" w:cs="Arial" w:eastAsia="Arial" w:hAnsi="Arial"/>
        <w:sz w:val="16"/>
        <w:szCs w:val="16"/>
      </w:rPr>
      <w:t xml:space="preserve"> av </w:t>
    </w:r>
    <w:r>
      <w:rPr>
        <w:rFonts w:ascii="Arial" w:cs="Arial" w:eastAsia="Arial" w:hAnsi="Arial"/>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idfot">
    <w:name w:val="Sidfot"/>
    <w:rPr>
      <w:rFonts w:ascii="Arial" w:cs="Arial" w:eastAsia="Arial" w:hAnsi="Arial"/>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Beslut om uppskov med offentliggörande av insiderinformation</dc:title>
  <dc:creator>Emissionskittet</dc:creator>
  <dc:description>Artikel 17.4 i EU:s marknadsmissbruksförordning (MAR) i lydelsen från 5 juni 2026</dc:description>
  <cp:lastModifiedBy>Un-named</cp:lastModifiedBy>
  <cp:revision>1</cp:revision>
  <dcterms:created xsi:type="dcterms:W3CDTF">2026-09-29T16:11:01.748Z</dcterms:created>
  <dcterms:modified xsi:type="dcterms:W3CDTF">2026-09-29T16:11:01.748Z</dcterms:modified>
</cp:coreProperties>
</file>

<file path=docProps/custom.xml><?xml version="1.0" encoding="utf-8"?>
<Properties xmlns="http://schemas.openxmlformats.org/officeDocument/2006/custom-properties" xmlns:vt="http://schemas.openxmlformats.org/officeDocument/2006/docPropsVTypes"/>
</file>